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11" w:rsidRDefault="008F2C11" w:rsidP="008F2C11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2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8F2C11" w:rsidRDefault="008F2C11" w:rsidP="008F2C11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8F2C11" w:rsidRDefault="008F2C11" w:rsidP="008F2C1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8F2C11" w:rsidRDefault="008F2C11" w:rsidP="008F2C1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8F2C11" w:rsidRDefault="008F2C11" w:rsidP="008F2C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 сесія VIIІ скликання</w:t>
      </w:r>
    </w:p>
    <w:p w:rsidR="008F2C11" w:rsidRDefault="008F2C11" w:rsidP="008F2C11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8F2C11" w:rsidRDefault="008F2C11" w:rsidP="008F2C11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8F2C11" w:rsidRDefault="008F2C11" w:rsidP="008F2C11">
      <w:pPr>
        <w:ind w:firstLine="426"/>
        <w:rPr>
          <w:sz w:val="28"/>
          <w:szCs w:val="28"/>
        </w:rPr>
      </w:pPr>
      <w:r>
        <w:rPr>
          <w:sz w:val="28"/>
          <w:szCs w:val="28"/>
        </w:rPr>
        <w:t>06 квітня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828</w:t>
      </w:r>
    </w:p>
    <w:p w:rsidR="008F2C11" w:rsidRDefault="008F2C11" w:rsidP="008F2C11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8F2C11" w:rsidTr="00E917CD">
        <w:trPr>
          <w:trHeight w:val="825"/>
        </w:trPr>
        <w:tc>
          <w:tcPr>
            <w:tcW w:w="5209" w:type="dxa"/>
            <w:hideMark/>
          </w:tcPr>
          <w:p w:rsidR="008F2C11" w:rsidRPr="003B3D62" w:rsidRDefault="008F2C11" w:rsidP="00E917C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B3D62">
              <w:rPr>
                <w:b/>
                <w:sz w:val="28"/>
                <w:szCs w:val="28"/>
              </w:rPr>
              <w:t>Про затвердження Програми соціальної підтримки тимчасово переміщених осіб з тимчасово окупованих територій, районів проведення бойових дій на територію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3D62">
              <w:rPr>
                <w:b/>
                <w:sz w:val="28"/>
                <w:szCs w:val="28"/>
              </w:rPr>
              <w:t>Вербської</w:t>
            </w:r>
            <w:proofErr w:type="spellEnd"/>
            <w:r w:rsidRPr="003B3D62">
              <w:rPr>
                <w:b/>
                <w:sz w:val="28"/>
                <w:szCs w:val="28"/>
              </w:rPr>
              <w:t xml:space="preserve"> сільської ради</w:t>
            </w:r>
          </w:p>
          <w:p w:rsidR="008F2C11" w:rsidRPr="0040056D" w:rsidRDefault="008F2C11" w:rsidP="00E917CD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F2C11" w:rsidRDefault="008F2C11" w:rsidP="008F2C11">
      <w:pPr>
        <w:spacing w:line="276" w:lineRule="auto"/>
        <w:ind w:firstLine="284"/>
        <w:jc w:val="both"/>
        <w:outlineLvl w:val="0"/>
        <w:rPr>
          <w:sz w:val="28"/>
          <w:szCs w:val="28"/>
        </w:rPr>
      </w:pPr>
      <w:r w:rsidRPr="003B3D62">
        <w:rPr>
          <w:sz w:val="28"/>
          <w:szCs w:val="28"/>
        </w:rPr>
        <w:t xml:space="preserve">З метою вирішення питань соціального захисту громадян, які прибувають з тимчасово окупованих територій, районів бойових дій на територію </w:t>
      </w:r>
      <w:proofErr w:type="spellStart"/>
      <w:r w:rsidRPr="003B3D62">
        <w:rPr>
          <w:sz w:val="28"/>
          <w:szCs w:val="28"/>
        </w:rPr>
        <w:t>Вербської</w:t>
      </w:r>
      <w:proofErr w:type="spellEnd"/>
      <w:r w:rsidRPr="003B3D62">
        <w:rPr>
          <w:sz w:val="28"/>
          <w:szCs w:val="28"/>
        </w:rPr>
        <w:t xml:space="preserve"> сільської ради, забезпечення дотримання прав, свобод та законних інтересів тимчасово переміщених осіб, створення умов для поліпшення їх життя, на виконання Закону України «Про забезпечення прав і свобод тимчасово пер</w:t>
      </w:r>
      <w:r>
        <w:rPr>
          <w:sz w:val="28"/>
          <w:szCs w:val="28"/>
        </w:rPr>
        <w:t>еміщених осіб», керуючись ст. 34</w:t>
      </w:r>
      <w:r w:rsidRPr="003B3D62">
        <w:rPr>
          <w:sz w:val="28"/>
          <w:szCs w:val="28"/>
        </w:rPr>
        <w:t xml:space="preserve"> Закону України «Про місцеве самоврядування в Україні»</w:t>
      </w:r>
      <w:r w:rsidRPr="003B3D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Вербська сільська рада</w:t>
      </w:r>
    </w:p>
    <w:p w:rsidR="008F2C11" w:rsidRDefault="008F2C11" w:rsidP="008F2C11">
      <w:pPr>
        <w:spacing w:line="276" w:lineRule="auto"/>
        <w:jc w:val="center"/>
        <w:outlineLvl w:val="0"/>
        <w:rPr>
          <w:sz w:val="28"/>
          <w:szCs w:val="28"/>
        </w:rPr>
      </w:pPr>
    </w:p>
    <w:p w:rsidR="008F2C11" w:rsidRDefault="008F2C11" w:rsidP="008F2C11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8F2C11" w:rsidRPr="003B3D62" w:rsidRDefault="008F2C11" w:rsidP="008F2C1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Програму</w:t>
      </w:r>
      <w:r w:rsidRPr="003B3D62">
        <w:rPr>
          <w:sz w:val="28"/>
          <w:szCs w:val="28"/>
        </w:rPr>
        <w:t xml:space="preserve"> соціальної підтримки тимчасово переміщених осіб з тимчасово окупованих територій, районів проведення бойових дій на територію </w:t>
      </w:r>
      <w:proofErr w:type="spellStart"/>
      <w:r w:rsidRPr="003B3D62">
        <w:rPr>
          <w:sz w:val="28"/>
          <w:szCs w:val="28"/>
        </w:rPr>
        <w:t>Вербської</w:t>
      </w:r>
      <w:proofErr w:type="spellEnd"/>
      <w:r w:rsidRPr="003B3D62">
        <w:rPr>
          <w:sz w:val="28"/>
          <w:szCs w:val="28"/>
        </w:rPr>
        <w:t xml:space="preserve"> сільської ради (додається).</w:t>
      </w:r>
    </w:p>
    <w:p w:rsidR="008F2C11" w:rsidRPr="003B3D62" w:rsidRDefault="008F2C11" w:rsidP="008F2C1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2. Фінансування  заходів  Програми  здійснювати  у межах  фінансових можливостей.</w:t>
      </w:r>
    </w:p>
    <w:p w:rsidR="008F2C11" w:rsidRPr="003B3D62" w:rsidRDefault="008F2C11" w:rsidP="008F2C1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 xml:space="preserve">3. Контроль за виконанням </w:t>
      </w:r>
      <w:r>
        <w:rPr>
          <w:sz w:val="28"/>
          <w:szCs w:val="28"/>
        </w:rPr>
        <w:t>цього</w:t>
      </w:r>
      <w:r w:rsidRPr="003B3D62">
        <w:rPr>
          <w:sz w:val="28"/>
          <w:szCs w:val="28"/>
        </w:rPr>
        <w:t xml:space="preserve"> рішення покласти на заступника сільського голови з питань діяльності виконавчих органів</w:t>
      </w:r>
      <w:r>
        <w:rPr>
          <w:sz w:val="28"/>
          <w:szCs w:val="28"/>
        </w:rPr>
        <w:t xml:space="preserve"> ради Грицака А.О.</w:t>
      </w:r>
    </w:p>
    <w:p w:rsidR="008F2C11" w:rsidRDefault="008F2C11" w:rsidP="008F2C11">
      <w:pPr>
        <w:tabs>
          <w:tab w:val="left" w:pos="360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8F2C11" w:rsidRDefault="008F2C11" w:rsidP="008F2C11">
      <w:pPr>
        <w:jc w:val="both"/>
        <w:rPr>
          <w:rFonts w:eastAsia="Calibri"/>
          <w:sz w:val="28"/>
          <w:szCs w:val="28"/>
        </w:rPr>
      </w:pPr>
    </w:p>
    <w:p w:rsidR="008F2C11" w:rsidRDefault="008F2C11" w:rsidP="008F2C11">
      <w:pPr>
        <w:jc w:val="both"/>
        <w:rPr>
          <w:rFonts w:eastAsia="Calibri"/>
          <w:sz w:val="28"/>
          <w:szCs w:val="28"/>
        </w:rPr>
      </w:pPr>
    </w:p>
    <w:p w:rsidR="008F2C11" w:rsidRDefault="008F2C11" w:rsidP="008F2C11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8F2C11" w:rsidRPr="004B5610" w:rsidRDefault="008F2C11" w:rsidP="008F2C11">
      <w:pPr>
        <w:spacing w:after="200" w:line="276" w:lineRule="auto"/>
        <w:rPr>
          <w:rFonts w:eastAsia="MS Mincho"/>
          <w:b/>
          <w:sz w:val="28"/>
          <w:szCs w:val="28"/>
          <w:lang w:val="ru-RU"/>
        </w:rPr>
      </w:pPr>
      <w:r w:rsidRPr="004B5610">
        <w:rPr>
          <w:rFonts w:eastAsia="MS Mincho"/>
          <w:b/>
          <w:sz w:val="28"/>
          <w:szCs w:val="28"/>
          <w:lang w:val="ru-RU"/>
        </w:rPr>
        <w:br w:type="page"/>
      </w:r>
    </w:p>
    <w:p w:rsidR="008F2C11" w:rsidRPr="005A2FFA" w:rsidRDefault="008F2C11" w:rsidP="008F2C11">
      <w:pPr>
        <w:ind w:firstLine="5954"/>
        <w:jc w:val="both"/>
        <w:rPr>
          <w:sz w:val="28"/>
          <w:szCs w:val="28"/>
        </w:rPr>
      </w:pPr>
      <w:r w:rsidRPr="005A2FFA">
        <w:rPr>
          <w:sz w:val="28"/>
          <w:szCs w:val="28"/>
        </w:rPr>
        <w:lastRenderedPageBreak/>
        <w:t>Додаток</w:t>
      </w:r>
    </w:p>
    <w:p w:rsidR="008F2C11" w:rsidRDefault="008F2C11" w:rsidP="008F2C11">
      <w:pPr>
        <w:ind w:firstLine="5954"/>
        <w:jc w:val="both"/>
        <w:rPr>
          <w:sz w:val="28"/>
          <w:szCs w:val="28"/>
        </w:rPr>
      </w:pPr>
      <w:r w:rsidRPr="005A2FFA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сесії</w:t>
      </w:r>
    </w:p>
    <w:p w:rsidR="008F2C11" w:rsidRPr="005A2FFA" w:rsidRDefault="008F2C11" w:rsidP="008F2C11">
      <w:pPr>
        <w:ind w:firstLine="5954"/>
        <w:jc w:val="both"/>
        <w:rPr>
          <w:sz w:val="28"/>
          <w:szCs w:val="28"/>
        </w:rPr>
      </w:pPr>
      <w:proofErr w:type="spellStart"/>
      <w:r w:rsidRPr="005A2FFA">
        <w:rPr>
          <w:sz w:val="28"/>
          <w:szCs w:val="28"/>
        </w:rPr>
        <w:t>Вербської</w:t>
      </w:r>
      <w:proofErr w:type="spellEnd"/>
      <w:r w:rsidRPr="005A2FFA">
        <w:rPr>
          <w:sz w:val="28"/>
          <w:szCs w:val="28"/>
        </w:rPr>
        <w:t xml:space="preserve"> сільської ради</w:t>
      </w:r>
    </w:p>
    <w:p w:rsidR="008F2C11" w:rsidRPr="005A2FFA" w:rsidRDefault="008F2C11" w:rsidP="008F2C11">
      <w:pPr>
        <w:ind w:firstLine="5954"/>
        <w:jc w:val="both"/>
        <w:rPr>
          <w:sz w:val="28"/>
          <w:szCs w:val="28"/>
        </w:rPr>
      </w:pPr>
      <w:r w:rsidRPr="005A2FFA">
        <w:rPr>
          <w:sz w:val="28"/>
          <w:szCs w:val="28"/>
        </w:rPr>
        <w:t xml:space="preserve">від </w:t>
      </w:r>
      <w:r>
        <w:rPr>
          <w:sz w:val="28"/>
          <w:szCs w:val="28"/>
        </w:rPr>
        <w:t>06.04.2022 р. № 828</w:t>
      </w:r>
    </w:p>
    <w:p w:rsidR="008F2C11" w:rsidRPr="003B3D62" w:rsidRDefault="008F2C11" w:rsidP="008F2C11">
      <w:pPr>
        <w:spacing w:line="276" w:lineRule="auto"/>
        <w:contextualSpacing/>
        <w:jc w:val="right"/>
        <w:rPr>
          <w:sz w:val="28"/>
          <w:szCs w:val="28"/>
        </w:rPr>
      </w:pPr>
    </w:p>
    <w:p w:rsidR="008F2C11" w:rsidRPr="003B3D62" w:rsidRDefault="008F2C11" w:rsidP="008F2C1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B3D62">
        <w:rPr>
          <w:b/>
          <w:sz w:val="28"/>
          <w:szCs w:val="28"/>
        </w:rPr>
        <w:t>Програма</w:t>
      </w:r>
    </w:p>
    <w:p w:rsidR="008F2C11" w:rsidRPr="003B3D62" w:rsidRDefault="008F2C11" w:rsidP="008F2C1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B3D62">
        <w:rPr>
          <w:b/>
          <w:sz w:val="28"/>
          <w:szCs w:val="28"/>
        </w:rPr>
        <w:t xml:space="preserve">соціальної підтримки тимчасово переміщених осіб з тимчасово окупованих територій, районів бойових дій на територію </w:t>
      </w:r>
      <w:proofErr w:type="spellStart"/>
      <w:r w:rsidRPr="003B3D62">
        <w:rPr>
          <w:b/>
          <w:sz w:val="28"/>
          <w:szCs w:val="28"/>
        </w:rPr>
        <w:t>Вербської</w:t>
      </w:r>
      <w:proofErr w:type="spellEnd"/>
      <w:r w:rsidRPr="003B3D62">
        <w:rPr>
          <w:b/>
          <w:sz w:val="28"/>
          <w:szCs w:val="28"/>
        </w:rPr>
        <w:t xml:space="preserve"> сільської ради</w:t>
      </w:r>
    </w:p>
    <w:p w:rsidR="008F2C11" w:rsidRPr="003B3D62" w:rsidRDefault="008F2C11" w:rsidP="008F2C11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8F2C11" w:rsidRPr="003B3D62" w:rsidRDefault="008F2C11" w:rsidP="008F2C11">
      <w:pPr>
        <w:spacing w:line="276" w:lineRule="auto"/>
        <w:jc w:val="center"/>
        <w:rPr>
          <w:sz w:val="28"/>
          <w:szCs w:val="28"/>
        </w:rPr>
      </w:pPr>
      <w:r w:rsidRPr="003B3D62">
        <w:rPr>
          <w:sz w:val="28"/>
          <w:szCs w:val="28"/>
        </w:rPr>
        <w:t>І. Загальна характеристика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19"/>
        <w:gridCol w:w="4603"/>
      </w:tblGrid>
      <w:tr w:rsidR="008F2C11" w:rsidRPr="003B3D62" w:rsidTr="00E917CD">
        <w:trPr>
          <w:trHeight w:val="629"/>
        </w:trPr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1.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Вербська сільська рада</w:t>
            </w:r>
          </w:p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F2C11" w:rsidRPr="003B3D62" w:rsidTr="00E917CD">
        <w:trPr>
          <w:trHeight w:val="908"/>
        </w:trPr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2.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B3D62">
              <w:rPr>
                <w:sz w:val="28"/>
                <w:szCs w:val="28"/>
              </w:rPr>
              <w:t>Вербська сільська рада</w:t>
            </w:r>
          </w:p>
        </w:tc>
      </w:tr>
      <w:tr w:rsidR="008F2C11" w:rsidRPr="003B3D62" w:rsidTr="00E917CD">
        <w:trPr>
          <w:trHeight w:val="1130"/>
        </w:trPr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3.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Виконавець Програми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 xml:space="preserve">Виконком </w:t>
            </w:r>
            <w:proofErr w:type="spellStart"/>
            <w:r w:rsidRPr="003B3D62">
              <w:rPr>
                <w:sz w:val="28"/>
                <w:szCs w:val="28"/>
              </w:rPr>
              <w:t>Вербської</w:t>
            </w:r>
            <w:proofErr w:type="spellEnd"/>
            <w:r w:rsidRPr="003B3D62">
              <w:rPr>
                <w:sz w:val="28"/>
                <w:szCs w:val="28"/>
              </w:rPr>
              <w:t xml:space="preserve"> сільської ради</w:t>
            </w:r>
          </w:p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F2C11" w:rsidRPr="003B3D62" w:rsidTr="00E917CD">
        <w:trPr>
          <w:trHeight w:val="1358"/>
        </w:trPr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4.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B3D62">
              <w:rPr>
                <w:sz w:val="28"/>
                <w:szCs w:val="28"/>
              </w:rPr>
              <w:t xml:space="preserve">Виконком </w:t>
            </w:r>
            <w:proofErr w:type="spellStart"/>
            <w:r w:rsidRPr="003B3D62">
              <w:rPr>
                <w:sz w:val="28"/>
                <w:szCs w:val="28"/>
              </w:rPr>
              <w:t>Вербської</w:t>
            </w:r>
            <w:proofErr w:type="spellEnd"/>
            <w:r w:rsidRPr="003B3D62">
              <w:rPr>
                <w:sz w:val="28"/>
                <w:szCs w:val="28"/>
              </w:rPr>
              <w:t xml:space="preserve"> сільської ради, заклади освіти, культури, спорту, охорони здоров</w:t>
            </w:r>
            <w:r w:rsidRPr="003B3D62">
              <w:rPr>
                <w:sz w:val="28"/>
                <w:szCs w:val="28"/>
                <w:lang w:val="ru-RU"/>
              </w:rPr>
              <w:t>’</w:t>
            </w:r>
            <w:r w:rsidRPr="003B3D62">
              <w:rPr>
                <w:sz w:val="28"/>
                <w:szCs w:val="28"/>
              </w:rPr>
              <w:t>я за соціальних послуг, волонтери, благодійники</w:t>
            </w:r>
          </w:p>
        </w:tc>
      </w:tr>
      <w:tr w:rsidR="008F2C11" w:rsidRPr="003B3D62" w:rsidTr="00E917CD"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5.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3B3D62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2022-2025 роки</w:t>
            </w:r>
          </w:p>
        </w:tc>
      </w:tr>
      <w:tr w:rsidR="008F2C11" w:rsidRPr="003B3D62" w:rsidTr="00E917CD">
        <w:trPr>
          <w:trHeight w:val="1218"/>
        </w:trPr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7.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3B3D62">
              <w:rPr>
                <w:sz w:val="28"/>
                <w:szCs w:val="28"/>
              </w:rPr>
              <w:t>Сільський бюджет</w:t>
            </w:r>
          </w:p>
        </w:tc>
      </w:tr>
      <w:tr w:rsidR="008F2C11" w:rsidRPr="003B3D62" w:rsidTr="00E917CD"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8.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агальний обсяг фінансових ресур</w:t>
            </w:r>
            <w:r w:rsidRPr="003B3D62">
              <w:rPr>
                <w:color w:val="000000"/>
                <w:sz w:val="28"/>
                <w:szCs w:val="28"/>
              </w:rPr>
              <w:t>сів, необхідних для реалізації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B3D62">
              <w:rPr>
                <w:sz w:val="28"/>
                <w:szCs w:val="28"/>
              </w:rPr>
              <w:t xml:space="preserve"> межах фінансових можливостей</w:t>
            </w:r>
          </w:p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F2C11" w:rsidRPr="003B3D62" w:rsidTr="00E917CD"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8.1.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color w:val="000000"/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B3D62">
              <w:rPr>
                <w:sz w:val="28"/>
                <w:szCs w:val="28"/>
              </w:rPr>
              <w:t xml:space="preserve"> межах фінансових можливостей</w:t>
            </w:r>
          </w:p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F2C11" w:rsidRPr="003B3D62" w:rsidTr="00E917CD"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color w:val="000000"/>
                <w:sz w:val="28"/>
                <w:szCs w:val="28"/>
              </w:rPr>
              <w:t xml:space="preserve">- з них коштів </w:t>
            </w:r>
            <w:proofErr w:type="spellStart"/>
            <w:r w:rsidRPr="003B3D62">
              <w:rPr>
                <w:color w:val="000000"/>
                <w:sz w:val="28"/>
                <w:szCs w:val="28"/>
              </w:rPr>
              <w:t>Вербської</w:t>
            </w:r>
            <w:proofErr w:type="spellEnd"/>
            <w:r w:rsidRPr="003B3D62">
              <w:rPr>
                <w:color w:val="000000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B3D62">
              <w:rPr>
                <w:sz w:val="28"/>
                <w:szCs w:val="28"/>
              </w:rPr>
              <w:t xml:space="preserve"> межах фінансових можливостей</w:t>
            </w:r>
          </w:p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F2C11" w:rsidRPr="003B3D62" w:rsidTr="00E917CD">
        <w:tc>
          <w:tcPr>
            <w:tcW w:w="648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9.</w:t>
            </w:r>
          </w:p>
        </w:tc>
        <w:tc>
          <w:tcPr>
            <w:tcW w:w="4319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603" w:type="dxa"/>
            <w:shd w:val="clear" w:color="auto" w:fill="auto"/>
          </w:tcPr>
          <w:p w:rsidR="008F2C11" w:rsidRPr="003B3D62" w:rsidRDefault="008F2C11" w:rsidP="00E917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3D62">
              <w:rPr>
                <w:sz w:val="28"/>
                <w:szCs w:val="28"/>
              </w:rPr>
              <w:t>Сільський бюджет</w:t>
            </w:r>
          </w:p>
        </w:tc>
      </w:tr>
    </w:tbl>
    <w:p w:rsidR="008F2C11" w:rsidRDefault="008F2C11" w:rsidP="008F2C11">
      <w:pPr>
        <w:spacing w:line="276" w:lineRule="auto"/>
        <w:jc w:val="both"/>
        <w:rPr>
          <w:sz w:val="28"/>
          <w:szCs w:val="28"/>
        </w:rPr>
      </w:pPr>
    </w:p>
    <w:p w:rsidR="008F2C11" w:rsidRDefault="008F2C11" w:rsidP="008F2C11">
      <w:pPr>
        <w:spacing w:line="276" w:lineRule="auto"/>
        <w:jc w:val="both"/>
        <w:rPr>
          <w:sz w:val="28"/>
          <w:szCs w:val="28"/>
        </w:rPr>
      </w:pPr>
    </w:p>
    <w:p w:rsidR="008F2C11" w:rsidRPr="003B3D62" w:rsidRDefault="008F2C11" w:rsidP="008F2C11">
      <w:pPr>
        <w:spacing w:line="276" w:lineRule="auto"/>
        <w:jc w:val="both"/>
        <w:rPr>
          <w:sz w:val="28"/>
          <w:szCs w:val="28"/>
        </w:rPr>
      </w:pPr>
    </w:p>
    <w:p w:rsidR="008F2C11" w:rsidRPr="003B3D62" w:rsidRDefault="008F2C11" w:rsidP="008F2C11">
      <w:pPr>
        <w:spacing w:line="276" w:lineRule="auto"/>
        <w:jc w:val="center"/>
        <w:rPr>
          <w:sz w:val="28"/>
          <w:szCs w:val="28"/>
        </w:rPr>
      </w:pPr>
      <w:r w:rsidRPr="003B3D62">
        <w:rPr>
          <w:sz w:val="28"/>
          <w:szCs w:val="28"/>
        </w:rPr>
        <w:lastRenderedPageBreak/>
        <w:t>ІІ. Обґрунтування  необхідності прийняття  Програми</w:t>
      </w:r>
    </w:p>
    <w:p w:rsidR="008F2C11" w:rsidRPr="003B3D62" w:rsidRDefault="008F2C11" w:rsidP="008F2C11">
      <w:pPr>
        <w:spacing w:line="276" w:lineRule="auto"/>
        <w:ind w:firstLine="708"/>
        <w:jc w:val="both"/>
        <w:rPr>
          <w:sz w:val="28"/>
          <w:szCs w:val="28"/>
        </w:rPr>
      </w:pPr>
      <w:r w:rsidRPr="003B3D62">
        <w:rPr>
          <w:sz w:val="28"/>
          <w:szCs w:val="28"/>
        </w:rPr>
        <w:t xml:space="preserve">Станом на 01.04.22 на територію </w:t>
      </w:r>
      <w:proofErr w:type="spellStart"/>
      <w:r w:rsidRPr="003B3D62">
        <w:rPr>
          <w:sz w:val="28"/>
          <w:szCs w:val="28"/>
        </w:rPr>
        <w:t>Вербської</w:t>
      </w:r>
      <w:proofErr w:type="spellEnd"/>
      <w:r w:rsidRPr="003B3D62">
        <w:rPr>
          <w:sz w:val="28"/>
          <w:szCs w:val="28"/>
        </w:rPr>
        <w:t xml:space="preserve"> сільської ради прибуло понад 250 осіб з територій, де ведуться бойові дії. Переселенці проживають в приватних будинках у родичів та знайомих на території селищної ради, для розміщення підготовлено приміщення </w:t>
      </w:r>
      <w:proofErr w:type="spellStart"/>
      <w:r w:rsidRPr="003B3D62">
        <w:rPr>
          <w:sz w:val="28"/>
          <w:szCs w:val="28"/>
        </w:rPr>
        <w:t>Стовпецького</w:t>
      </w:r>
      <w:proofErr w:type="spellEnd"/>
      <w:r w:rsidRPr="003B3D62">
        <w:rPr>
          <w:sz w:val="28"/>
          <w:szCs w:val="28"/>
        </w:rPr>
        <w:t xml:space="preserve"> ліцею. Наявна тенденція до збільшення кількості тимчасово переміщених осіб в громаді на постійній основі та тимчасово. Сім’ї вищезазначених громадян залишилися без фінансової підтримки з їх боку та опинилися в складних життєвих обставинах. Прийняття даної програми надасть можливість надати додаткові до встановлених законодавством гарантії щодо соціального захисту громадянам та членам їх сімей. Таким чином, в умовах сьогодення, саме зазначені категорії населення потребують підвищеної уваги з боку владних структур, органів місцевого самоврядування, громадських організацій.</w:t>
      </w:r>
    </w:p>
    <w:p w:rsidR="008F2C11" w:rsidRPr="003B3D62" w:rsidRDefault="008F2C11" w:rsidP="008F2C11">
      <w:pPr>
        <w:spacing w:line="276" w:lineRule="auto"/>
        <w:jc w:val="center"/>
        <w:rPr>
          <w:sz w:val="28"/>
          <w:szCs w:val="28"/>
        </w:rPr>
      </w:pPr>
      <w:r w:rsidRPr="003B3D62">
        <w:rPr>
          <w:sz w:val="28"/>
          <w:szCs w:val="28"/>
        </w:rPr>
        <w:t>ІІІ. Мета Програми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 xml:space="preserve">Програму соціальної підтримки тимчасово переміщених осіб з тимчасово окупованих територій на територію </w:t>
      </w:r>
      <w:proofErr w:type="spellStart"/>
      <w:r w:rsidRPr="003B3D62">
        <w:rPr>
          <w:sz w:val="28"/>
          <w:szCs w:val="28"/>
        </w:rPr>
        <w:t>Вербської</w:t>
      </w:r>
      <w:proofErr w:type="spellEnd"/>
      <w:r w:rsidRPr="003B3D62">
        <w:rPr>
          <w:sz w:val="28"/>
          <w:szCs w:val="28"/>
        </w:rPr>
        <w:t xml:space="preserve"> сільської ради на 2022-2025 роки розроблено з метою:</w:t>
      </w:r>
    </w:p>
    <w:p w:rsidR="008F2C11" w:rsidRPr="003B3D62" w:rsidRDefault="008F2C11" w:rsidP="008F2C11">
      <w:pPr>
        <w:spacing w:line="276" w:lineRule="auto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 xml:space="preserve">           - надання тимчасово переміщеним особам допомоги як таким, що потрапили у важкі життєві обставини;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забезпечення тимчасово переміщених осіб умовами тимчасового проживання в установах, підприємствах, організаціях області, харчуванням за необхідністю, здійснення безпечного і регулярного перевезення учнів, дітей до місця навчання у сільській місцевості, забезпечення освітніх, культурних, мистецьких, спортивних потреб ТПО;</w:t>
      </w:r>
      <w:r w:rsidRPr="003B3D62">
        <w:rPr>
          <w:sz w:val="28"/>
          <w:szCs w:val="28"/>
        </w:rPr>
        <w:tab/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сприяння у наданні гуманітарної допомоги сім’ям шляхом залучення благодійних організацій та фондів, які надають допомогу ТПО</w:t>
      </w:r>
      <w:r w:rsidRPr="003B3D62">
        <w:rPr>
          <w:bCs/>
          <w:iCs/>
          <w:sz w:val="28"/>
          <w:szCs w:val="28"/>
        </w:rPr>
        <w:t>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bCs/>
          <w:iCs/>
          <w:sz w:val="28"/>
          <w:szCs w:val="28"/>
        </w:rPr>
        <w:t xml:space="preserve">- </w:t>
      </w:r>
      <w:r w:rsidRPr="003B3D62">
        <w:rPr>
          <w:sz w:val="28"/>
          <w:szCs w:val="28"/>
        </w:rPr>
        <w:t>організація безоплатного користування музеями, бібліотеками, клубами та іншими об’єктами культур;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сприяння розвитку творчого потенціалу ТПО шляхом залучення їх до організації дозвілля, творчих майстерень, гурткової роботи, фестивалів, конкурсів, виставок та інших культурно-мистецьких заходів національно-патріотичного спрямування;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залучення до співпраці громадських організацій для вирішення проблем ТПО;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сприяння забезпеченню умов для занять фізичною культурою в дитячо-юнацькій спортивної школі;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 xml:space="preserve">- забезпечення сприятливих умов для навчання дітей ТПО у загальноосвітніх та </w:t>
      </w:r>
      <w:proofErr w:type="spellStart"/>
      <w:r w:rsidRPr="003B3D62">
        <w:rPr>
          <w:sz w:val="28"/>
          <w:szCs w:val="28"/>
        </w:rPr>
        <w:t>та</w:t>
      </w:r>
      <w:proofErr w:type="spellEnd"/>
      <w:r w:rsidRPr="003B3D62">
        <w:rPr>
          <w:sz w:val="28"/>
          <w:szCs w:val="28"/>
        </w:rPr>
        <w:t xml:space="preserve"> дошкільних закладах, спрощення процедури переведення та зарахування учнів, забезпечення учнівськими приладдям;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lastRenderedPageBreak/>
        <w:t>- надання соціальних послуг самотнім тимчасово переміщеним особам у територіальному центрі соціального обслуговування та надання соціальних послуг;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надання соціальних послуг: ночівлі, тимчасового перебування, запобігання замерзанню, інше;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надання інформації тимчасово переміщеним особам про можливі місця і умови для їх тимчасового проживання/перебування з урахуванням пропозицій органів місцевого самоврядування, громадських об’єднань, волонтерських, благодійних організацій, інших юридичних та фізичних осіб, про стан інфраструктури, довкілля у таких місцях.</w:t>
      </w:r>
    </w:p>
    <w:p w:rsidR="008F2C11" w:rsidRPr="003B3D62" w:rsidRDefault="008F2C11" w:rsidP="008F2C11">
      <w:pPr>
        <w:spacing w:line="276" w:lineRule="auto"/>
        <w:jc w:val="both"/>
        <w:rPr>
          <w:sz w:val="28"/>
          <w:szCs w:val="28"/>
        </w:rPr>
      </w:pPr>
    </w:p>
    <w:p w:rsidR="008F2C11" w:rsidRPr="003B3D62" w:rsidRDefault="008F2C11" w:rsidP="008F2C11">
      <w:pPr>
        <w:spacing w:line="276" w:lineRule="auto"/>
        <w:jc w:val="center"/>
        <w:rPr>
          <w:sz w:val="28"/>
          <w:szCs w:val="28"/>
        </w:rPr>
      </w:pPr>
      <w:r w:rsidRPr="003B3D62">
        <w:rPr>
          <w:sz w:val="28"/>
          <w:szCs w:val="28"/>
        </w:rPr>
        <w:t>ІV. Шляхи виконання Програми</w:t>
      </w:r>
    </w:p>
    <w:p w:rsidR="008F2C11" w:rsidRPr="003B3D62" w:rsidRDefault="008F2C11" w:rsidP="008F2C11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3B3D62">
        <w:rPr>
          <w:color w:val="000000"/>
          <w:sz w:val="28"/>
          <w:szCs w:val="28"/>
        </w:rPr>
        <w:t xml:space="preserve">Порядок використання коштів місцевого бюджету для здійснення </w:t>
      </w:r>
      <w:r w:rsidRPr="003B3D62">
        <w:rPr>
          <w:sz w:val="28"/>
          <w:szCs w:val="28"/>
        </w:rPr>
        <w:t xml:space="preserve">соціальної підтримки тимчасово переміщених осіб </w:t>
      </w:r>
      <w:r w:rsidRPr="003B3D62">
        <w:rPr>
          <w:bCs/>
          <w:iCs/>
          <w:sz w:val="28"/>
          <w:szCs w:val="28"/>
        </w:rPr>
        <w:t>затверджує Вербська сільська рада.</w:t>
      </w:r>
    </w:p>
    <w:p w:rsidR="008F2C11" w:rsidRPr="003B3D62" w:rsidRDefault="008F2C11" w:rsidP="008F2C11">
      <w:pPr>
        <w:spacing w:line="276" w:lineRule="auto"/>
        <w:jc w:val="center"/>
        <w:rPr>
          <w:sz w:val="28"/>
          <w:szCs w:val="28"/>
        </w:rPr>
      </w:pPr>
      <w:r w:rsidRPr="003B3D62">
        <w:rPr>
          <w:sz w:val="28"/>
          <w:szCs w:val="28"/>
        </w:rPr>
        <w:t>V Очікувані результати</w:t>
      </w:r>
    </w:p>
    <w:p w:rsidR="008F2C11" w:rsidRPr="003B3D62" w:rsidRDefault="008F2C11" w:rsidP="008F2C11">
      <w:pPr>
        <w:spacing w:line="276" w:lineRule="auto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Реалізація Програми сприятиме: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>-   вирішенню соціально-побутових питань, пов’язаних з організацією тимчасового проживання, медичного забезпечення, працевлаштування, забезпечення речами першого вжитку, одягом, санітарно-гігієнічними засобами тимчасово переміщених осіб;</w:t>
      </w:r>
    </w:p>
    <w:p w:rsidR="008F2C11" w:rsidRPr="003B3D62" w:rsidRDefault="008F2C11" w:rsidP="008F2C11">
      <w:pPr>
        <w:spacing w:line="276" w:lineRule="auto"/>
        <w:ind w:firstLine="708"/>
        <w:contextualSpacing/>
        <w:jc w:val="both"/>
        <w:rPr>
          <w:rStyle w:val="longtext"/>
          <w:color w:val="000000"/>
          <w:sz w:val="28"/>
          <w:szCs w:val="28"/>
          <w:lang w:eastAsia="en-US"/>
        </w:rPr>
      </w:pPr>
      <w:r w:rsidRPr="003B3D62">
        <w:rPr>
          <w:rStyle w:val="longtext"/>
          <w:color w:val="000000"/>
          <w:sz w:val="28"/>
          <w:szCs w:val="28"/>
          <w:lang w:eastAsia="en-US"/>
        </w:rPr>
        <w:t>-   відновленню та попередженню порушених внаслідок захворювань або травм функцій, оптимальній реалізації фізичного, психічного і соціального потенціалу тимчасово переміщених осіб з метою інтеграції їх в суспільстві, а також наданню допомоги у досягненні максимальної фізичної, психічної, соціальної, професійної та економічної повноцінності;</w:t>
      </w:r>
    </w:p>
    <w:p w:rsidR="008F2C11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B3D62">
        <w:rPr>
          <w:sz w:val="28"/>
          <w:szCs w:val="28"/>
        </w:rPr>
        <w:t xml:space="preserve">- </w:t>
      </w:r>
      <w:r w:rsidRPr="003B3D62">
        <w:rPr>
          <w:sz w:val="28"/>
          <w:szCs w:val="28"/>
        </w:rPr>
        <w:tab/>
        <w:t xml:space="preserve">вирішенню соціально-побутових питань </w:t>
      </w:r>
      <w:r w:rsidRPr="003B3D62">
        <w:rPr>
          <w:rStyle w:val="a6"/>
          <w:rFonts w:eastAsiaTheme="minorEastAsia"/>
          <w:sz w:val="28"/>
          <w:szCs w:val="28"/>
        </w:rPr>
        <w:t>тимчасово переміщених осіб</w:t>
      </w:r>
      <w:r w:rsidRPr="003B3D62">
        <w:rPr>
          <w:sz w:val="28"/>
          <w:szCs w:val="28"/>
        </w:rPr>
        <w:t>.</w:t>
      </w:r>
    </w:p>
    <w:p w:rsidR="008F2C11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8F2C11" w:rsidRDefault="008F2C11" w:rsidP="008F2C11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8F2C11" w:rsidRDefault="008F2C11" w:rsidP="008F2C11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F363D0" w:rsidRDefault="00F363D0"/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F2C11"/>
    <w:rsid w:val="00135B15"/>
    <w:rsid w:val="00197256"/>
    <w:rsid w:val="002016F5"/>
    <w:rsid w:val="00281A9B"/>
    <w:rsid w:val="00423FA0"/>
    <w:rsid w:val="008F2C11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F2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F2C1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8F2C11"/>
    <w:rPr>
      <w:rFonts w:cs="Times New Roman"/>
      <w:b/>
      <w:bCs/>
    </w:rPr>
  </w:style>
  <w:style w:type="character" w:customStyle="1" w:styleId="longtext">
    <w:name w:val="longtext"/>
    <w:basedOn w:val="a0"/>
    <w:rsid w:val="008F2C11"/>
  </w:style>
  <w:style w:type="paragraph" w:styleId="a7">
    <w:name w:val="Balloon Text"/>
    <w:basedOn w:val="a"/>
    <w:link w:val="a8"/>
    <w:uiPriority w:val="99"/>
    <w:semiHidden/>
    <w:unhideWhenUsed/>
    <w:rsid w:val="008F2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2022-05-17T12:16:00Z</dcterms:created>
  <dcterms:modified xsi:type="dcterms:W3CDTF">2022-05-17T12:16:00Z</dcterms:modified>
</cp:coreProperties>
</file>