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B5402F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 w:rsidR="00222A61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 w:rsidRPr="00B5402F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AD5190" w:rsidRPr="00B5402F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B5402F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 комісій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питань</w:t>
      </w:r>
      <w:r w:rsidRPr="00B5402F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102591" w:rsidRPr="00B5402F" w:rsidRDefault="00102591" w:rsidP="00AD5190">
      <w:pPr>
        <w:pStyle w:val="a3"/>
        <w:jc w:val="center"/>
        <w:rPr>
          <w:rStyle w:val="normaltextrun"/>
          <w:rFonts w:ascii="Times New Roman" w:hAnsi="Times New Roman" w:cs="Times New Roman"/>
          <w:lang w:val="uk-UA"/>
        </w:rPr>
      </w:pPr>
    </w:p>
    <w:p w:rsidR="00AD5190" w:rsidRPr="00B5402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16DC2" w:rsidRPr="00B5402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16DC2" w:rsidRPr="00B5402F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36F88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ab/>
        <w:t>с. Верба</w:t>
      </w:r>
    </w:p>
    <w:p w:rsidR="00102591" w:rsidRPr="00B5402F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B5402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Pr="00B5402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Pr="00B5402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EA01C8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Pr="00B5402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Руслан СПАСЮ</w:t>
      </w:r>
      <w:r w:rsidR="006643A9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B36F88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B5402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Pr="00B5402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Pr="00B5402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Pr="00B5402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Pr="00B5402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B5402F" w:rsidRDefault="003A0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Василь ДВОРЖАК</w:t>
      </w:r>
      <w:r w:rsidR="003D167D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5402F">
        <w:rPr>
          <w:rFonts w:ascii="Times New Roman" w:hAnsi="Times New Roman" w:cs="Times New Roman"/>
          <w:sz w:val="28"/>
          <w:szCs w:val="28"/>
        </w:rPr>
        <w:t>директор КП «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>»</w:t>
      </w:r>
      <w:r w:rsidR="003D167D"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Pr="00B5402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B5402F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7C2FEA" w:rsidRPr="00B5402F" w:rsidTr="007C2FEA">
        <w:tc>
          <w:tcPr>
            <w:tcW w:w="10065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7C2FEA" w:rsidRPr="00B5402F" w:rsidTr="00DA4C3E">
              <w:tc>
                <w:tcPr>
                  <w:tcW w:w="8681" w:type="dxa"/>
                  <w:hideMark/>
                </w:tcPr>
                <w:p w:rsidR="007C2FEA" w:rsidRPr="00B5402F" w:rsidRDefault="007C2FEA" w:rsidP="007C2FEA">
                  <w:pPr>
                    <w:pStyle w:val="a3"/>
                    <w:numPr>
                      <w:ilvl w:val="0"/>
                      <w:numId w:val="46"/>
                    </w:numPr>
                    <w:spacing w:line="276" w:lineRule="auto"/>
                    <w:ind w:left="0" w:firstLine="3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5402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І квартал 2024 року.</w:t>
                  </w:r>
                </w:p>
              </w:tc>
            </w:tr>
          </w:tbl>
          <w:p w:rsidR="007C2FEA" w:rsidRPr="00B5402F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uppressAutoHyphens/>
              <w:autoSpaceDE w:val="0"/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до бюджету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7C2FEA" w:rsidRPr="00B5402F" w:rsidRDefault="007C2FEA" w:rsidP="00DA4C3E">
            <w:pPr>
              <w:suppressAutoHyphens/>
              <w:autoSpaceDE w:val="0"/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ільгових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залізничному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транспорті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приміського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сполучення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2024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7C2FEA" w:rsidRPr="00B5402F" w:rsidRDefault="007C2FEA" w:rsidP="00DA4C3E">
            <w:pPr>
              <w:suppressAutoHyphens/>
              <w:autoSpaceDE w:val="0"/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Програму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військовослужбовців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в тому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мобілізованих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військової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особливий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учасників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антитерористичної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об’єднаних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сил;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брали участь 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здійсненні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оборони та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у Програму соціального захисту населення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2024 рік </w:t>
            </w:r>
          </w:p>
          <w:p w:rsidR="007C2FEA" w:rsidRPr="00B5402F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Підтримка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казначейського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Дубенському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районі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на 2024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7C2FEA" w:rsidRPr="00B5402F" w:rsidRDefault="007C2FEA" w:rsidP="00DA4C3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поточних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індивідуальних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технологічних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нормативів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питної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води для КП «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2FEA" w:rsidRPr="00B5402F" w:rsidRDefault="007C2FEA" w:rsidP="00DA4C3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: Дворжак В.С. – директор КП «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списання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балансу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багатоквартирних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житлових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будинків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перебувають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балансі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КП «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2FEA" w:rsidRPr="00B5402F" w:rsidRDefault="007C2FEA" w:rsidP="00DA4C3E">
            <w:pPr>
              <w:pStyle w:val="a7"/>
              <w:tabs>
                <w:tab w:val="left" w:pos="317"/>
              </w:tabs>
              <w:spacing w:line="276" w:lineRule="auto"/>
              <w:ind w:left="31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B5402F">
              <w:rPr>
                <w:rFonts w:ascii="Times New Roman" w:hAnsi="Times New Roman"/>
                <w:sz w:val="28"/>
                <w:szCs w:val="28"/>
              </w:rPr>
              <w:t>: Дворжак В.С.– директор КП «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Помазану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Євгеновичу</w:t>
            </w:r>
            <w:proofErr w:type="spellEnd"/>
          </w:p>
          <w:p w:rsidR="007C2FEA" w:rsidRPr="00B5402F" w:rsidRDefault="007C2FEA" w:rsidP="00DA4C3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Демидюку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Павлу Миколайовичу</w:t>
            </w:r>
          </w:p>
          <w:p w:rsidR="007C2FEA" w:rsidRPr="00B5402F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Пінчуку Петру Володимировичу</w:t>
            </w:r>
          </w:p>
          <w:p w:rsidR="007C2FEA" w:rsidRPr="00B5402F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A0AAF"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="003A0AAF"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="003A0AAF"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="003A0AAF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0AAF"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="003A0AAF"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) гр. Чернову</w:t>
            </w:r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іктору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Володимировичу</w:t>
            </w:r>
            <w:proofErr w:type="spellEnd"/>
          </w:p>
          <w:p w:rsidR="007C2FEA" w:rsidRPr="00B5402F" w:rsidRDefault="007C2FEA" w:rsidP="00DA4C3E">
            <w:pPr>
              <w:pStyle w:val="a7"/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Олех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Олені Іванівні</w:t>
            </w:r>
          </w:p>
          <w:p w:rsidR="007C2FEA" w:rsidRPr="00B5402F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Дзявульській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Оксані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Іванівні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викуп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несільськогосподарського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Грушевського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10 </w:t>
            </w:r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с. Верба та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грошової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оцінки</w:t>
            </w:r>
            <w:proofErr w:type="spellEnd"/>
          </w:p>
          <w:p w:rsidR="007C2FEA" w:rsidRPr="00B5402F" w:rsidRDefault="007C2FEA" w:rsidP="00DA4C3E">
            <w:pPr>
              <w:pStyle w:val="a7"/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</w:t>
            </w:r>
          </w:p>
          <w:p w:rsidR="007C2FEA" w:rsidRPr="00B5402F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переліку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ідготовки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лотів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B540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продажу права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торгах (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аукціоні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та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відповідних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документацій</w:t>
            </w:r>
            <w:proofErr w:type="spellEnd"/>
          </w:p>
          <w:p w:rsidR="007C2FEA" w:rsidRPr="00B5402F" w:rsidRDefault="007C2FEA" w:rsidP="00DA4C3E">
            <w:pPr>
              <w:pStyle w:val="a7"/>
              <w:tabs>
                <w:tab w:val="left" w:pos="219"/>
              </w:tabs>
              <w:spacing w:line="276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Грондусу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Анатолію Степановичу</w:t>
            </w:r>
          </w:p>
          <w:p w:rsidR="007C2FEA" w:rsidRPr="00B5402F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6643A9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</w:t>
            </w:r>
            <w:r w:rsidR="007C2FEA"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із землеустрою щодо   встановлення (відновлення) меж земельної ділянки в натурі (на місцевості) для будівництва і обслуговування </w:t>
            </w: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будинку,</w:t>
            </w:r>
            <w:r w:rsidR="007C2FEA"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господарських будівель і споруд (приса</w:t>
            </w: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дибна ділянка) та передачу її у</w:t>
            </w:r>
            <w:r w:rsidR="007C2FEA"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власність громадянину Коту Миколі  Михайловичу</w:t>
            </w:r>
          </w:p>
          <w:p w:rsidR="007C2FEA" w:rsidRPr="00B5402F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B54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технічної</w:t>
            </w:r>
            <w:r w:rsidR="007C2FEA" w:rsidRPr="00B54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документації із землеустрою щодо   встановлення (відновлення) меж земельної ділянки в натурі (на місцевості) для будівництва і об</w:t>
            </w:r>
            <w:r w:rsidRPr="00B5402F">
              <w:rPr>
                <w:rFonts w:ascii="Times New Roman" w:hAnsi="Times New Roman"/>
                <w:sz w:val="28"/>
                <w:szCs w:val="28"/>
                <w:lang w:val="uk-UA"/>
              </w:rPr>
              <w:t>слуговування житлового будинку,</w:t>
            </w:r>
            <w:r w:rsidR="007C2FEA" w:rsidRPr="00B54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господарських будівель і споруд (присадибна ділянка) та передачу її у  власність громадянці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  <w:lang w:val="uk-UA"/>
              </w:rPr>
              <w:t>Топоровській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Ользі Миколаївні</w:t>
            </w:r>
          </w:p>
          <w:p w:rsidR="007C2FEA" w:rsidRPr="00B5402F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об</w:t>
            </w:r>
            <w:r w:rsidRPr="00B5402F">
              <w:rPr>
                <w:rFonts w:ascii="Times New Roman" w:hAnsi="Times New Roman"/>
                <w:sz w:val="28"/>
                <w:szCs w:val="28"/>
              </w:rPr>
              <w:t>слуговування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,</w:t>
            </w:r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) та передачу 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Гамернику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Євгенію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Йосиповичу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обс</w:t>
            </w:r>
            <w:r w:rsidRPr="00B5402F">
              <w:rPr>
                <w:rFonts w:ascii="Times New Roman" w:hAnsi="Times New Roman"/>
                <w:sz w:val="28"/>
                <w:szCs w:val="28"/>
              </w:rPr>
              <w:t>луговування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присади</w:t>
            </w:r>
            <w:r w:rsidRPr="00B5402F">
              <w:rPr>
                <w:rFonts w:ascii="Times New Roman" w:hAnsi="Times New Roman"/>
                <w:sz w:val="28"/>
                <w:szCs w:val="28"/>
              </w:rPr>
              <w:t>бна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Собчук</w:t>
            </w:r>
            <w:proofErr w:type="spellEnd"/>
            <w:proofErr w:type="gram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ікторії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Дмитрівні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об</w:t>
            </w:r>
            <w:r w:rsidRPr="00B5402F">
              <w:rPr>
                <w:rFonts w:ascii="Times New Roman" w:hAnsi="Times New Roman"/>
                <w:sz w:val="28"/>
                <w:szCs w:val="28"/>
              </w:rPr>
              <w:t>слуговування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>,</w:t>
            </w:r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діл</w:t>
            </w:r>
            <w:r w:rsidRPr="00B5402F">
              <w:rPr>
                <w:rFonts w:ascii="Times New Roman" w:hAnsi="Times New Roman"/>
                <w:sz w:val="28"/>
                <w:szCs w:val="28"/>
              </w:rPr>
              <w:t>янка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>інтозельській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Марії</w:t>
            </w:r>
            <w:proofErr w:type="spellEnd"/>
            <w:r w:rsidR="007C2FEA"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B5402F">
              <w:rPr>
                <w:rFonts w:ascii="Times New Roman" w:hAnsi="Times New Roman"/>
                <w:sz w:val="28"/>
                <w:szCs w:val="28"/>
              </w:rPr>
              <w:t>Дмитрівні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Саківець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Ользі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Олексіївні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у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Ніколайчук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Аллі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Андріївні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проекту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</w:t>
            </w:r>
            <w:r w:rsidR="006643A9" w:rsidRPr="00B5402F">
              <w:rPr>
                <w:rFonts w:ascii="Times New Roman" w:hAnsi="Times New Roman"/>
                <w:sz w:val="28"/>
                <w:szCs w:val="28"/>
              </w:rPr>
              <w:t>ої</w:t>
            </w:r>
            <w:proofErr w:type="spellEnd"/>
            <w:r w:rsidR="006643A9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3A9"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6643A9"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6643A9" w:rsidRPr="00B5402F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="006643A9" w:rsidRPr="00B5402F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="006643A9" w:rsidRPr="00B5402F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проекту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проекту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Степанович</w:t>
            </w:r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>Про</w:t>
            </w:r>
            <w:r w:rsidR="006643A9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3A9"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="006643A9"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3A9" w:rsidRPr="00B5402F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="006643A9"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6643A9" w:rsidRPr="00B5402F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згоди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поділ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розробку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землеустроющодо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B5402F" w:rsidTr="007C2FEA">
        <w:tc>
          <w:tcPr>
            <w:tcW w:w="10065" w:type="dxa"/>
          </w:tcPr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поновлення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договору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Дубенським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районним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споживчим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товариством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7C2FEA" w:rsidRPr="00B5402F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попередження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ліквідації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надзвичайних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ситуацій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B5402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5402F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7C2FEA" w:rsidRPr="00B5402F" w:rsidRDefault="007C2FEA" w:rsidP="00DA4C3E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Доповідач: </w:t>
            </w:r>
            <w:r w:rsidRPr="00B5402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Оксана КОБЛЮК – начальник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B5402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5402F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</w:tbl>
    <w:p w:rsidR="0085215C" w:rsidRPr="00B5402F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Аркадія СЕМЕНЮКА, який ознайомив присутніх із порядком денним засідання.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B5402F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B5402F" w:rsidRDefault="006643A9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за І квартал 2024 року</w:t>
      </w:r>
    </w:p>
    <w:p w:rsidR="00AD5190" w:rsidRPr="00B5402F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B5402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B5402F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643A9" w:rsidRPr="00B5402F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за І квартал 2024 року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B5402F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B5402F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6643A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643A9" w:rsidRPr="00B5402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643A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B5402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643A9" w:rsidRPr="00B5402F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6643A9" w:rsidRPr="00B5402F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643A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B5402F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643A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B5402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6643A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B5402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643A9" w:rsidRPr="00B5402F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6643A9" w:rsidRPr="00B5402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B5402F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402F">
        <w:rPr>
          <w:rFonts w:ascii="Times New Roman" w:hAnsi="Times New Roman"/>
          <w:sz w:val="28"/>
          <w:szCs w:val="28"/>
        </w:rPr>
        <w:t>Підтримати проект рішення «</w:t>
      </w:r>
      <w:r w:rsidR="006643A9" w:rsidRPr="00B5402F">
        <w:rPr>
          <w:rFonts w:ascii="Times New Roman" w:hAnsi="Times New Roman"/>
          <w:sz w:val="28"/>
          <w:szCs w:val="28"/>
        </w:rPr>
        <w:t xml:space="preserve">Про внесення змін до бюджету </w:t>
      </w:r>
      <w:proofErr w:type="spellStart"/>
      <w:r w:rsidR="006643A9" w:rsidRPr="00B5402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643A9" w:rsidRPr="00B5402F">
        <w:rPr>
          <w:rFonts w:ascii="Times New Roman" w:hAnsi="Times New Roman"/>
          <w:sz w:val="28"/>
          <w:szCs w:val="28"/>
        </w:rPr>
        <w:t xml:space="preserve"> сільської територіальної громади на 2024 рік</w:t>
      </w:r>
      <w:r w:rsidRPr="00B5402F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B5402F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B5402F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B5402F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402F">
        <w:rPr>
          <w:rFonts w:ascii="Times New Roman" w:hAnsi="Times New Roman"/>
          <w:sz w:val="28"/>
          <w:szCs w:val="28"/>
        </w:rPr>
        <w:t>Оксану КОБЛЮК</w:t>
      </w:r>
      <w:r w:rsidR="00AD5190" w:rsidRPr="00B5402F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3B4B8A" w:rsidRPr="00B5402F">
        <w:rPr>
          <w:rFonts w:ascii="Times New Roman" w:hAnsi="Times New Roman"/>
          <w:sz w:val="28"/>
          <w:szCs w:val="28"/>
        </w:rPr>
        <w:t xml:space="preserve">Про затвердження Програми компенсації пільгових перевезень окремих категорій громадян </w:t>
      </w:r>
      <w:proofErr w:type="spellStart"/>
      <w:r w:rsidR="003B4B8A" w:rsidRPr="00B5402F">
        <w:rPr>
          <w:rFonts w:ascii="Times New Roman" w:hAnsi="Times New Roman"/>
          <w:sz w:val="28"/>
          <w:szCs w:val="28"/>
        </w:rPr>
        <w:lastRenderedPageBreak/>
        <w:t>Вербської</w:t>
      </w:r>
      <w:proofErr w:type="spellEnd"/>
      <w:r w:rsidR="003B4B8A" w:rsidRPr="00B5402F">
        <w:rPr>
          <w:rFonts w:ascii="Times New Roman" w:hAnsi="Times New Roman"/>
          <w:sz w:val="28"/>
          <w:szCs w:val="28"/>
        </w:rPr>
        <w:t xml:space="preserve"> сільської ради на залізничному транспорті приміського сполучення на 2024 рік</w:t>
      </w:r>
      <w:r w:rsidR="00AD5190" w:rsidRPr="00B5402F">
        <w:rPr>
          <w:rFonts w:ascii="Times New Roman" w:hAnsi="Times New Roman"/>
          <w:sz w:val="28"/>
          <w:szCs w:val="28"/>
        </w:rPr>
        <w:t>»</w:t>
      </w:r>
      <w:r w:rsidR="006210DF" w:rsidRPr="00B5402F">
        <w:rPr>
          <w:rFonts w:ascii="Times New Roman" w:hAnsi="Times New Roman"/>
          <w:sz w:val="28"/>
          <w:szCs w:val="28"/>
        </w:rPr>
        <w:t>.</w:t>
      </w:r>
      <w:r w:rsidR="00AD5190" w:rsidRPr="00B5402F">
        <w:rPr>
          <w:rFonts w:ascii="Times New Roman" w:hAnsi="Times New Roman"/>
          <w:sz w:val="28"/>
          <w:szCs w:val="28"/>
        </w:rPr>
        <w:t xml:space="preserve"> 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5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B5402F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B5402F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B5402F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Оксану КОБЛЮК, яка ознайомила </w:t>
      </w:r>
      <w:r w:rsidR="00AD5190" w:rsidRPr="00B5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="00AD5190" w:rsidRPr="00B5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B5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B5402F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B5402F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соціального захисту населення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</w:t>
      </w:r>
      <w:r w:rsidR="00AD5190"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соціального захисту населення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B5402F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B5402F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казначейського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Дубенському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 на 2024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D5190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казначейського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Дубенському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 на 2024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B5402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B5402F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Василя ДВОРЖАКА</w:t>
      </w:r>
      <w:r w:rsidR="003D38C9" w:rsidRPr="00B5402F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3D38C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води для КП «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>»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води для КП «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>»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Василя ДВОРЖАКА,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багатоквартирних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>»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багатоквартирних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>»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Помазану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Євгеновичу</w:t>
      </w:r>
      <w:proofErr w:type="spellEnd"/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Помазану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Євгеновичу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B5402F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Демидюку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Павлу Миколайовичу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Демидюку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Павлу Миколайовичу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Пінчуку Петру Володимировичу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 місцевості) гр. Пінчуку Петру Володимировичу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B5402F">
        <w:rPr>
          <w:rFonts w:ascii="Times New Roman" w:hAnsi="Times New Roman" w:cs="Times New Roman"/>
          <w:sz w:val="28"/>
          <w:szCs w:val="28"/>
        </w:rPr>
        <w:t>Чернову</w:t>
      </w:r>
      <w:proofErr w:type="gramStart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402F">
        <w:rPr>
          <w:rFonts w:ascii="Times New Roman" w:hAnsi="Times New Roman" w:cs="Times New Roman"/>
          <w:sz w:val="28"/>
          <w:szCs w:val="28"/>
        </w:rPr>
        <w:t>іктору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>) гр. Чернову</w:t>
      </w:r>
      <w:proofErr w:type="gramStart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4B8A" w:rsidRPr="00B5402F">
        <w:rPr>
          <w:rFonts w:ascii="Times New Roman" w:hAnsi="Times New Roman" w:cs="Times New Roman"/>
          <w:sz w:val="28"/>
          <w:szCs w:val="28"/>
        </w:rPr>
        <w:t>іктору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Олех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Олені Іванівні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Олех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Олені Іванівні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Дзявульській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Оксані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викуп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, 10 </w:t>
      </w:r>
      <w:proofErr w:type="gramStart"/>
      <w:r w:rsidRPr="00B540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402F">
        <w:rPr>
          <w:rFonts w:ascii="Times New Roman" w:hAnsi="Times New Roman" w:cs="Times New Roman"/>
          <w:sz w:val="28"/>
          <w:szCs w:val="28"/>
        </w:rPr>
        <w:t xml:space="preserve"> с. Верба та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експертно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33F6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Дзявульській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Оксані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викуп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, 10 в с. Верба та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експертно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B5402F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31E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B5402F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B5402F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лотів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для продажу права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="00E654FD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лотів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для продажу права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B5402F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B5402F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B5402F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Грондусу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 Анатолію Степановичу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Грондусу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 Анатолію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B5402F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B5402F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Коту Миколі  Михайловичу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Коту Миколі  Михайловичу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B5402F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B5402F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Топоровській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 Ользі Миколаївні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Топоровській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B5402F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B5402F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громадянину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Гамернику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 Євгенію Йосиповичу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громадянину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Гамернику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 Євгенію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Йосиповичу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B5402F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B5402F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Собчук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Дмитрівні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B540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B5402F" w:rsidRDefault="00037919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AC77D2"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7919" w:rsidRPr="00B5402F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Собчук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Дмитрівні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B5402F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37919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C77D2" w:rsidRPr="00B5402F" w:rsidRDefault="00AC77D2" w:rsidP="00AC7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C77D2" w:rsidRPr="00B5402F" w:rsidRDefault="003B4B8A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C77D2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Свінтозельській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Марії  Дмитрівні</w:t>
      </w:r>
      <w:r w:rsidR="00AC77D2"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7D2" w:rsidRPr="00B5402F" w:rsidRDefault="00AC77D2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C77D2" w:rsidRPr="00B5402F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Свінтозельській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Марії  Дмитрівні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C77D2" w:rsidRPr="00B5402F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Саківець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Ользі  Олексіївні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Саківець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Ользі  Олексіївні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 господарських будівель і споруд (присадибна ділянка) та передачу її у  власність громадянці </w:t>
      </w:r>
      <w:proofErr w:type="spellStart"/>
      <w:r w:rsidRPr="00B5402F">
        <w:rPr>
          <w:rFonts w:ascii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 Аллі Андріївні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 господарських будівель і споруд (присадибна ділянка) та передачу її у  власність громадянці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 Аллі Андріївні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3B4B8A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B4B8A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3B4B8A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B4B8A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3B4B8A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B4B8A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3B4B8A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B4B8A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8A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3B4B8A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r w:rsidR="00AC42D9" w:rsidRPr="00B5402F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AC42D9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C42D9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AC42D9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C42D9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AC42D9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C42D9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AC42D9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C42D9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AC42D9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C42D9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proofErr w:type="gramStart"/>
      <w:r w:rsidR="00AC42D9" w:rsidRPr="00B54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C42D9" w:rsidRPr="00B5402F">
        <w:rPr>
          <w:rFonts w:ascii="Times New Roman" w:hAnsi="Times New Roman" w:cs="Times New Roman"/>
          <w:sz w:val="28"/>
          <w:szCs w:val="28"/>
        </w:rPr>
        <w:t>інтозельському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земельної ділянки та розробку технічної документації із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землеустроющодо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поділу та об’єднання земельної ділянки комунальної власності на території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земельної ділянки та розробку технічної документації із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землеустроющодо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поділу та об’єднання земельної ділянки комунальної власності на території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B5402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Дубенським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споживчим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товариством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Дубенським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споживчим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товариством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B5402F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B5402F" w:rsidRDefault="00AC42D9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5402F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Pr="00B5402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B5402F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B540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B5402F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 w:rsidRPr="00B5402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42D9" w:rsidRPr="00B5402F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AC42D9" w:rsidRPr="00B5402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5402F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B5402F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2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 w:rsidRPr="00B540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15C" w:rsidRPr="00B5402F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83" w:rsidRDefault="00120683" w:rsidP="005D19D9">
      <w:pPr>
        <w:spacing w:after="0" w:line="240" w:lineRule="auto"/>
      </w:pPr>
      <w:r>
        <w:separator/>
      </w:r>
    </w:p>
  </w:endnote>
  <w:endnote w:type="continuationSeparator" w:id="0">
    <w:p w:rsidR="00120683" w:rsidRDefault="00120683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4030B7">
        <w:pPr>
          <w:pStyle w:val="a5"/>
          <w:jc w:val="right"/>
        </w:pPr>
        <w:fldSimple w:instr=" PAGE   \* MERGEFORMAT ">
          <w:r w:rsidR="00222A61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83" w:rsidRDefault="00120683" w:rsidP="005D19D9">
      <w:pPr>
        <w:spacing w:after="0" w:line="240" w:lineRule="auto"/>
      </w:pPr>
      <w:r>
        <w:separator/>
      </w:r>
    </w:p>
  </w:footnote>
  <w:footnote w:type="continuationSeparator" w:id="0">
    <w:p w:rsidR="00120683" w:rsidRDefault="00120683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20683"/>
    <w:rsid w:val="00135B15"/>
    <w:rsid w:val="00172AAD"/>
    <w:rsid w:val="001734F5"/>
    <w:rsid w:val="00197256"/>
    <w:rsid w:val="001C38EA"/>
    <w:rsid w:val="00222A61"/>
    <w:rsid w:val="00274FAA"/>
    <w:rsid w:val="00281A9B"/>
    <w:rsid w:val="002C0EE8"/>
    <w:rsid w:val="002C2D93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B0418"/>
    <w:rsid w:val="005C2089"/>
    <w:rsid w:val="005D19D9"/>
    <w:rsid w:val="006210DF"/>
    <w:rsid w:val="00656E0A"/>
    <w:rsid w:val="006643A9"/>
    <w:rsid w:val="006853D5"/>
    <w:rsid w:val="006B5C49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917FA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5402F"/>
    <w:rsid w:val="00B83FB8"/>
    <w:rsid w:val="00BB4F81"/>
    <w:rsid w:val="00BC5C5E"/>
    <w:rsid w:val="00C3072E"/>
    <w:rsid w:val="00C6042A"/>
    <w:rsid w:val="00C95DD2"/>
    <w:rsid w:val="00CF794A"/>
    <w:rsid w:val="00D233F6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2024-05-21T09:55:00Z</dcterms:created>
  <dcterms:modified xsi:type="dcterms:W3CDTF">2024-05-21T09:55:00Z</dcterms:modified>
</cp:coreProperties>
</file>