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9A77" w14:textId="11496195" w:rsidR="00231751" w:rsidRDefault="00231751" w:rsidP="002317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4C08C" wp14:editId="0E092E7E">
            <wp:extent cx="693420" cy="922020"/>
            <wp:effectExtent l="0" t="0" r="0" b="0"/>
            <wp:docPr id="6" name="Рисунок 6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2611BEBE" w14:textId="77777777" w:rsidR="00231751" w:rsidRDefault="00231751" w:rsidP="002317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11CF4E00" w14:textId="77777777" w:rsidR="00231751" w:rsidRDefault="00231751" w:rsidP="0023175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58F01AB5" w14:textId="77777777" w:rsidR="00231751" w:rsidRDefault="00231751" w:rsidP="002317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0E3D8140" w14:textId="77777777" w:rsidR="00231751" w:rsidRDefault="00231751" w:rsidP="002317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68943283" w14:textId="77777777" w:rsidR="00231751" w:rsidRDefault="00231751" w:rsidP="0023175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 липня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1038</w:t>
      </w:r>
    </w:p>
    <w:p w14:paraId="1862C99F" w14:textId="77777777" w:rsidR="00231751" w:rsidRDefault="00231751" w:rsidP="0023175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31751" w14:paraId="71566F6E" w14:textId="77777777" w:rsidTr="00231751">
        <w:tc>
          <w:tcPr>
            <w:tcW w:w="5070" w:type="dxa"/>
            <w:hideMark/>
          </w:tcPr>
          <w:p w14:paraId="20DDA02C" w14:textId="77777777" w:rsidR="00231751" w:rsidRDefault="0023175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підтримки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Збройних</w:t>
            </w:r>
            <w:proofErr w:type="spellEnd"/>
            <w:r>
              <w:rPr>
                <w:b/>
                <w:sz w:val="28"/>
                <w:szCs w:val="28"/>
              </w:rPr>
              <w:t xml:space="preserve"> сил </w:t>
            </w:r>
            <w:proofErr w:type="spellStart"/>
            <w:r>
              <w:rPr>
                <w:b/>
                <w:sz w:val="28"/>
                <w:szCs w:val="28"/>
              </w:rPr>
              <w:t>України</w:t>
            </w:r>
            <w:proofErr w:type="spellEnd"/>
            <w:r>
              <w:rPr>
                <w:b/>
                <w:sz w:val="28"/>
                <w:szCs w:val="28"/>
              </w:rPr>
              <w:t xml:space="preserve"> 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14:paraId="1BFDB8B0" w14:textId="77777777" w:rsidR="00231751" w:rsidRDefault="00231751" w:rsidP="00231751">
      <w:pPr>
        <w:keepNext/>
        <w:widowControl w:val="0"/>
        <w:outlineLvl w:val="2"/>
        <w:rPr>
          <w:b/>
          <w:sz w:val="28"/>
          <w:szCs w:val="28"/>
        </w:rPr>
      </w:pPr>
    </w:p>
    <w:p w14:paraId="6FA2F6CD" w14:textId="77777777" w:rsidR="00231751" w:rsidRDefault="00231751" w:rsidP="00231751">
      <w:pPr>
        <w:spacing w:line="276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Указу Президента 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11.02.2016 №44/2016 «Про </w:t>
      </w:r>
      <w:proofErr w:type="spellStart"/>
      <w:r>
        <w:rPr>
          <w:sz w:val="28"/>
          <w:szCs w:val="28"/>
        </w:rPr>
        <w:t>шефську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гвардії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прикордонної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та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14:paraId="59E2FF85" w14:textId="77777777" w:rsidR="00231751" w:rsidRDefault="00231751" w:rsidP="00231751">
      <w:pPr>
        <w:spacing w:line="276" w:lineRule="auto"/>
        <w:rPr>
          <w:sz w:val="28"/>
          <w:szCs w:val="28"/>
        </w:rPr>
      </w:pPr>
    </w:p>
    <w:p w14:paraId="747184A1" w14:textId="77777777" w:rsidR="00231751" w:rsidRDefault="00231751" w:rsidP="0023175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41FA033C" w14:textId="77777777" w:rsidR="00231751" w:rsidRDefault="00231751" w:rsidP="00231751">
      <w:pPr>
        <w:spacing w:line="276" w:lineRule="auto"/>
        <w:jc w:val="center"/>
        <w:rPr>
          <w:b/>
          <w:sz w:val="28"/>
          <w:szCs w:val="28"/>
        </w:rPr>
      </w:pPr>
    </w:p>
    <w:p w14:paraId="2F5ADA42" w14:textId="77777777" w:rsidR="00231751" w:rsidRDefault="00231751" w:rsidP="00231751">
      <w:pPr>
        <w:pStyle w:val="a5"/>
        <w:numPr>
          <w:ilvl w:val="0"/>
          <w:numId w:val="20"/>
        </w:numPr>
        <w:spacing w:line="276" w:lineRule="auto"/>
        <w:jc w:val="both"/>
        <w:rPr>
          <w:sz w:val="28"/>
          <w:szCs w:val="26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 Програми підтримки Збройних сил України на 2023</w:t>
      </w:r>
    </w:p>
    <w:p w14:paraId="4B73D810" w14:textId="77777777" w:rsidR="00231751" w:rsidRDefault="00231751" w:rsidP="00231751">
      <w:pPr>
        <w:spacing w:line="276" w:lineRule="auto"/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рік, затвердженої рішенням тридцять третьої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Вербської сільської ради від 10 лютого 2023 року № 957 «Про програму підтримки Збройних сил України на 2023 рік»</w:t>
      </w:r>
      <w:r>
        <w:rPr>
          <w:sz w:val="28"/>
          <w:szCs w:val="26"/>
          <w:lang w:val="uk-UA"/>
        </w:rPr>
        <w:t>, зі змінами, затвердженою рішенням тридцять шостої сесії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Вербської сільської ради</w:t>
      </w:r>
      <w:r>
        <w:rPr>
          <w:sz w:val="28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09.05.2023 року № 1004 </w:t>
      </w:r>
      <w:r>
        <w:rPr>
          <w:sz w:val="28"/>
          <w:szCs w:val="26"/>
          <w:lang w:val="uk-UA"/>
        </w:rPr>
        <w:t xml:space="preserve">«Про внесення змін у програму підтримки </w:t>
      </w:r>
      <w:r>
        <w:rPr>
          <w:sz w:val="28"/>
          <w:szCs w:val="28"/>
          <w:lang w:val="uk-UA"/>
        </w:rPr>
        <w:t>Збройних сил України на 2023 рік»</w:t>
      </w:r>
      <w:r>
        <w:rPr>
          <w:sz w:val="28"/>
          <w:szCs w:val="26"/>
          <w:lang w:val="uk-UA"/>
        </w:rPr>
        <w:t>, а саме:</w:t>
      </w:r>
    </w:p>
    <w:p w14:paraId="3634BF98" w14:textId="77777777" w:rsidR="00231751" w:rsidRDefault="00231751" w:rsidP="00231751">
      <w:pPr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Фінансове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забезпечення</w:t>
      </w:r>
      <w:proofErr w:type="spellEnd"/>
      <w:r>
        <w:rPr>
          <w:sz w:val="28"/>
          <w:szCs w:val="26"/>
        </w:rPr>
        <w:t>».</w:t>
      </w:r>
    </w:p>
    <w:p w14:paraId="20A705A2" w14:textId="77777777" w:rsidR="00231751" w:rsidRDefault="00231751" w:rsidP="00231751">
      <w:pPr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spellStart"/>
      <w:r>
        <w:rPr>
          <w:sz w:val="28"/>
          <w:szCs w:val="26"/>
        </w:rPr>
        <w:t>Додаток</w:t>
      </w:r>
      <w:proofErr w:type="spellEnd"/>
      <w:r>
        <w:rPr>
          <w:sz w:val="28"/>
          <w:szCs w:val="26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Фінансове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забезпечення</w:t>
      </w:r>
      <w:proofErr w:type="spellEnd"/>
      <w:r>
        <w:rPr>
          <w:sz w:val="28"/>
          <w:szCs w:val="26"/>
        </w:rPr>
        <w:t xml:space="preserve">» </w:t>
      </w:r>
      <w:proofErr w:type="spellStart"/>
      <w:r>
        <w:rPr>
          <w:sz w:val="28"/>
          <w:szCs w:val="26"/>
        </w:rPr>
        <w:t>викласти</w:t>
      </w:r>
      <w:proofErr w:type="spellEnd"/>
      <w:r>
        <w:rPr>
          <w:sz w:val="28"/>
          <w:szCs w:val="26"/>
        </w:rPr>
        <w:t xml:space="preserve"> в </w:t>
      </w:r>
      <w:proofErr w:type="spellStart"/>
      <w:r>
        <w:rPr>
          <w:sz w:val="28"/>
          <w:szCs w:val="26"/>
        </w:rPr>
        <w:t>новій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редакції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що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додається</w:t>
      </w:r>
      <w:proofErr w:type="spellEnd"/>
      <w:r>
        <w:rPr>
          <w:sz w:val="28"/>
          <w:szCs w:val="26"/>
        </w:rPr>
        <w:t xml:space="preserve">. </w:t>
      </w:r>
    </w:p>
    <w:p w14:paraId="428FE268" w14:textId="77777777" w:rsidR="00231751" w:rsidRDefault="00231751" w:rsidP="0023175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pacing w:val="-2"/>
          <w:sz w:val="28"/>
          <w:szCs w:val="28"/>
        </w:rPr>
        <w:t xml:space="preserve">Контроль за </w:t>
      </w:r>
      <w:proofErr w:type="spellStart"/>
      <w:r>
        <w:rPr>
          <w:spacing w:val="-2"/>
          <w:sz w:val="28"/>
          <w:szCs w:val="28"/>
        </w:rPr>
        <w:t>виконанням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покласти</w:t>
      </w:r>
      <w:proofErr w:type="spellEnd"/>
      <w:r>
        <w:rPr>
          <w:spacing w:val="-2"/>
          <w:sz w:val="28"/>
          <w:szCs w:val="28"/>
        </w:rPr>
        <w:t xml:space="preserve"> на </w:t>
      </w:r>
      <w:proofErr w:type="spellStart"/>
      <w:r>
        <w:rPr>
          <w:spacing w:val="-2"/>
          <w:sz w:val="28"/>
          <w:szCs w:val="28"/>
        </w:rPr>
        <w:t>постійну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комісію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 xml:space="preserve">з  </w:t>
      </w:r>
      <w:proofErr w:type="spellStart"/>
      <w:r>
        <w:rPr>
          <w:spacing w:val="-2"/>
          <w:sz w:val="28"/>
          <w:szCs w:val="28"/>
        </w:rPr>
        <w:t>питань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фінансів</w:t>
      </w:r>
      <w:proofErr w:type="spellEnd"/>
      <w:r>
        <w:rPr>
          <w:spacing w:val="-2"/>
          <w:sz w:val="28"/>
          <w:szCs w:val="28"/>
        </w:rPr>
        <w:t xml:space="preserve">, бюджету, </w:t>
      </w:r>
      <w:proofErr w:type="spellStart"/>
      <w:r>
        <w:rPr>
          <w:spacing w:val="-2"/>
          <w:sz w:val="28"/>
          <w:szCs w:val="28"/>
        </w:rPr>
        <w:t>планування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соціально-економічного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розвитку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інвестицій</w:t>
      </w:r>
      <w:proofErr w:type="spellEnd"/>
      <w:r>
        <w:rPr>
          <w:spacing w:val="-2"/>
          <w:sz w:val="28"/>
          <w:szCs w:val="28"/>
        </w:rPr>
        <w:t xml:space="preserve"> та </w:t>
      </w:r>
      <w:proofErr w:type="spellStart"/>
      <w:r>
        <w:rPr>
          <w:spacing w:val="-2"/>
          <w:sz w:val="28"/>
          <w:szCs w:val="28"/>
        </w:rPr>
        <w:t>міжнародного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співробітництва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</w:t>
      </w:r>
      <w:r>
        <w:rPr>
          <w:lang w:val="uk-UA"/>
        </w:rPr>
        <w:t>).</w:t>
      </w:r>
    </w:p>
    <w:p w14:paraId="24ED7F5B" w14:textId="77777777" w:rsidR="00231751" w:rsidRDefault="00231751" w:rsidP="00231751">
      <w:pPr>
        <w:spacing w:line="276" w:lineRule="auto"/>
        <w:jc w:val="both"/>
        <w:rPr>
          <w:sz w:val="28"/>
          <w:szCs w:val="28"/>
          <w:lang w:val="uk-UA"/>
        </w:rPr>
      </w:pPr>
    </w:p>
    <w:p w14:paraId="463B9C27" w14:textId="77777777" w:rsidR="00231751" w:rsidRDefault="00231751" w:rsidP="00231751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14:paraId="77E252B1" w14:textId="77777777" w:rsidR="00231751" w:rsidRDefault="00231751" w:rsidP="00231751">
      <w:pPr>
        <w:jc w:val="both"/>
        <w:rPr>
          <w:rFonts w:eastAsia="Calibri"/>
          <w:sz w:val="28"/>
          <w:szCs w:val="28"/>
          <w:lang w:val="uk-UA"/>
        </w:rPr>
      </w:pPr>
    </w:p>
    <w:p w14:paraId="408B37ED" w14:textId="77777777" w:rsidR="00231751" w:rsidRDefault="00231751" w:rsidP="00231751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14:paraId="37ED6108" w14:textId="77777777" w:rsidR="00231751" w:rsidRDefault="00231751" w:rsidP="00231751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№1 </w:t>
      </w:r>
    </w:p>
    <w:p w14:paraId="28B032E5" w14:textId="77777777" w:rsidR="00231751" w:rsidRDefault="00231751" w:rsidP="00231751">
      <w:pPr>
        <w:tabs>
          <w:tab w:val="left" w:pos="75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до рішення сесії сільської ради</w:t>
      </w:r>
    </w:p>
    <w:p w14:paraId="0A9D3D82" w14:textId="77777777" w:rsidR="00231751" w:rsidRDefault="00231751" w:rsidP="00231751">
      <w:pPr>
        <w:tabs>
          <w:tab w:val="left" w:pos="6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від 07 липня  2023 року № 1038</w:t>
      </w:r>
    </w:p>
    <w:p w14:paraId="4D4D4E30" w14:textId="77777777" w:rsidR="00231751" w:rsidRDefault="00231751" w:rsidP="00231751">
      <w:pPr>
        <w:rPr>
          <w:sz w:val="28"/>
          <w:szCs w:val="28"/>
          <w:lang w:val="uk-UA"/>
        </w:rPr>
      </w:pPr>
    </w:p>
    <w:p w14:paraId="29BD567D" w14:textId="77777777" w:rsidR="00231751" w:rsidRDefault="00231751" w:rsidP="00231751">
      <w:pPr>
        <w:rPr>
          <w:sz w:val="28"/>
          <w:szCs w:val="28"/>
          <w:lang w:val="uk-UA"/>
        </w:rPr>
      </w:pPr>
    </w:p>
    <w:p w14:paraId="5FABC516" w14:textId="77777777" w:rsidR="00231751" w:rsidRDefault="00231751" w:rsidP="00231751">
      <w:pPr>
        <w:rPr>
          <w:sz w:val="28"/>
          <w:szCs w:val="28"/>
          <w:lang w:val="uk-UA"/>
        </w:rPr>
      </w:pPr>
    </w:p>
    <w:p w14:paraId="5BB4C85D" w14:textId="77777777" w:rsidR="00231751" w:rsidRDefault="00231751" w:rsidP="00231751">
      <w:pPr>
        <w:tabs>
          <w:tab w:val="left" w:pos="259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</w:p>
    <w:p w14:paraId="41777CCA" w14:textId="77777777" w:rsidR="00231751" w:rsidRDefault="00231751" w:rsidP="00231751">
      <w:pPr>
        <w:tabs>
          <w:tab w:val="left" w:pos="2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14:paraId="1FFB2588" w14:textId="77777777" w:rsidR="00231751" w:rsidRDefault="00231751" w:rsidP="00231751">
      <w:pPr>
        <w:rPr>
          <w:sz w:val="28"/>
          <w:szCs w:val="28"/>
        </w:rPr>
      </w:pPr>
    </w:p>
    <w:p w14:paraId="00DB8536" w14:textId="77777777" w:rsidR="00231751" w:rsidRDefault="00231751" w:rsidP="00231751">
      <w:pPr>
        <w:rPr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  <w:u w:val="single"/>
        </w:rPr>
        <w:t xml:space="preserve">Внести 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proofErr w:type="gram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14:paraId="009221F1" w14:textId="77777777" w:rsidR="00231751" w:rsidRDefault="00231751" w:rsidP="00231751">
      <w:pPr>
        <w:pStyle w:val="a5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 програми» викласти в новій редакції, а саме:</w:t>
      </w:r>
    </w:p>
    <w:p w14:paraId="012CCC4F" w14:textId="77777777" w:rsidR="00231751" w:rsidRDefault="00231751" w:rsidP="00231751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2 500 000 грн. </w:t>
      </w:r>
    </w:p>
    <w:p w14:paraId="2EA6A2B1" w14:textId="77777777" w:rsidR="00231751" w:rsidRDefault="00231751" w:rsidP="00231751">
      <w:pPr>
        <w:ind w:left="360"/>
        <w:rPr>
          <w:sz w:val="28"/>
          <w:szCs w:val="28"/>
        </w:rPr>
      </w:pPr>
    </w:p>
    <w:p w14:paraId="49BC1D0A" w14:textId="77777777" w:rsidR="00231751" w:rsidRDefault="00231751" w:rsidP="00231751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Вербською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</w:t>
      </w:r>
      <w:proofErr w:type="gramStart"/>
      <w:r>
        <w:rPr>
          <w:i/>
          <w:sz w:val="28"/>
          <w:szCs w:val="28"/>
        </w:rPr>
        <w:t xml:space="preserve">2023  </w:t>
      </w:r>
      <w:proofErr w:type="spellStart"/>
      <w:r>
        <w:rPr>
          <w:i/>
          <w:sz w:val="28"/>
          <w:szCs w:val="28"/>
        </w:rPr>
        <w:t>році</w:t>
      </w:r>
      <w:proofErr w:type="spellEnd"/>
      <w:proofErr w:type="gramEnd"/>
      <w:r>
        <w:rPr>
          <w:i/>
          <w:sz w:val="28"/>
          <w:szCs w:val="28"/>
        </w:rPr>
        <w:t>.</w:t>
      </w:r>
    </w:p>
    <w:p w14:paraId="50B2DB77" w14:textId="77777777" w:rsidR="00231751" w:rsidRDefault="00231751" w:rsidP="00231751">
      <w:pPr>
        <w:widowControl w:val="0"/>
        <w:rPr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199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5015"/>
        <w:gridCol w:w="2410"/>
        <w:gridCol w:w="1805"/>
      </w:tblGrid>
      <w:tr w:rsidR="00231751" w14:paraId="652F765E" w14:textId="77777777" w:rsidTr="00231751">
        <w:trPr>
          <w:trHeight w:val="36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A49AE" w14:textId="77777777" w:rsidR="00231751" w:rsidRDefault="00231751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14:paraId="5209962A" w14:textId="77777777" w:rsidR="00231751" w:rsidRDefault="00231751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2B022" w14:textId="77777777" w:rsidR="00231751" w:rsidRDefault="00231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BF141" w14:textId="77777777" w:rsidR="00231751" w:rsidRDefault="00231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>, грн.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097B" w14:textId="77777777" w:rsidR="00231751" w:rsidRDefault="002317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</w:p>
        </w:tc>
      </w:tr>
      <w:tr w:rsidR="00231751" w14:paraId="3C714D8A" w14:textId="77777777" w:rsidTr="00231751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CE750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2C8DE" w14:textId="77777777" w:rsidR="00231751" w:rsidRDefault="002317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Оплата </w:t>
            </w:r>
            <w:proofErr w:type="spellStart"/>
            <w:r>
              <w:rPr>
                <w:sz w:val="28"/>
                <w:szCs w:val="28"/>
                <w:lang w:eastAsia="en-US"/>
              </w:rPr>
              <w:t>послуг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робіт</w:t>
            </w:r>
            <w:proofErr w:type="spellEnd"/>
            <w:r>
              <w:rPr>
                <w:sz w:val="28"/>
                <w:szCs w:val="28"/>
                <w:lang w:eastAsia="en-US"/>
              </w:rPr>
              <w:t>)  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закупівля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влаштуванню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бетонної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підлоги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зміцненим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верхнім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слоєм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вкладення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бруківки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влаштуванням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подушки з </w:t>
            </w:r>
            <w:proofErr w:type="spellStart"/>
            <w:r>
              <w:rPr>
                <w:sz w:val="28"/>
                <w:szCs w:val="28"/>
                <w:lang w:eastAsia="en-US"/>
              </w:rPr>
              <w:t>щебеневих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сумішів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кондиціонерів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перекриття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покрівель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дахів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будівель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монтаж </w:t>
            </w:r>
            <w:proofErr w:type="spellStart"/>
            <w:r>
              <w:rPr>
                <w:sz w:val="28"/>
                <w:szCs w:val="28"/>
                <w:lang w:eastAsia="en-US"/>
              </w:rPr>
              <w:t>гумового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покриття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ремонт </w:t>
            </w:r>
            <w:proofErr w:type="spellStart"/>
            <w:r>
              <w:rPr>
                <w:sz w:val="28"/>
                <w:szCs w:val="28"/>
                <w:lang w:eastAsia="en-US"/>
              </w:rPr>
              <w:t>транспортних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засобів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0E08F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700 000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CE26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  <w:p w14:paraId="49F87FD7" w14:textId="77777777" w:rsidR="00231751" w:rsidRDefault="0023175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D4D347E" w14:textId="77777777" w:rsidR="00231751" w:rsidRDefault="0023175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5E3BA5C" w14:textId="77777777" w:rsidR="00231751" w:rsidRDefault="0023175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31751" w14:paraId="53E1DCF5" w14:textId="77777777" w:rsidTr="00231751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8732F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7B9EC" w14:textId="77777777" w:rsidR="00231751" w:rsidRDefault="002317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сувенірної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іміджевої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48980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A33A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5D55EEEF" w14:textId="77777777" w:rsidTr="00231751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68AA2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12459" w14:textId="77777777" w:rsidR="00231751" w:rsidRDefault="0023175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оргтехніки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C265A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1121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080C81A0" w14:textId="77777777" w:rsidTr="00231751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C3FC2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6D5C3" w14:textId="77777777" w:rsidR="00231751" w:rsidRDefault="0023175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модулів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інвентарю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місця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особового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складу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35CFA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565 610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B311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537DB0FA" w14:textId="77777777" w:rsidTr="00231751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D5808F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B1D8F3" w14:textId="77777777" w:rsidR="00231751" w:rsidRDefault="00231751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інвентарю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місця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особового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складу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DCA470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434 390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9D4570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27BF6A2B" w14:textId="77777777" w:rsidTr="0023175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81D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1C97" w14:textId="77777777" w:rsidR="00231751" w:rsidRDefault="00231751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закупівля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меблів</w:t>
            </w:r>
            <w:proofErr w:type="spellEnd"/>
            <w:r>
              <w:rPr>
                <w:sz w:val="28"/>
                <w:szCs w:val="28"/>
              </w:rPr>
              <w:t>)  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особового</w:t>
            </w:r>
            <w:proofErr w:type="spellEnd"/>
            <w:r>
              <w:rPr>
                <w:sz w:val="28"/>
                <w:szCs w:val="28"/>
              </w:rPr>
              <w:t xml:space="preserve"> складу, </w:t>
            </w:r>
            <w:proofErr w:type="spellStart"/>
            <w:r>
              <w:rPr>
                <w:sz w:val="28"/>
                <w:szCs w:val="28"/>
              </w:rPr>
              <w:t>сантехніки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пристроїв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учбового</w:t>
            </w:r>
            <w:proofErr w:type="spellEnd"/>
            <w:r>
              <w:rPr>
                <w:sz w:val="28"/>
                <w:szCs w:val="28"/>
              </w:rPr>
              <w:t xml:space="preserve"> корпусу,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 для поточного ремонту </w:t>
            </w:r>
            <w:proofErr w:type="spellStart"/>
            <w:r>
              <w:rPr>
                <w:sz w:val="28"/>
                <w:szCs w:val="28"/>
              </w:rPr>
              <w:t>будівель</w:t>
            </w:r>
            <w:proofErr w:type="spellEnd"/>
            <w:r>
              <w:rPr>
                <w:sz w:val="28"/>
                <w:szCs w:val="28"/>
              </w:rPr>
              <w:t xml:space="preserve">, спортивного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інвентарю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облаштування</w:t>
            </w:r>
            <w:proofErr w:type="spellEnd"/>
            <w:r>
              <w:rPr>
                <w:sz w:val="28"/>
                <w:szCs w:val="28"/>
              </w:rPr>
              <w:t xml:space="preserve"> благоустрою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частини</w:t>
            </w:r>
            <w:proofErr w:type="spellEnd"/>
            <w:r>
              <w:rPr>
                <w:sz w:val="28"/>
                <w:szCs w:val="28"/>
              </w:rPr>
              <w:t xml:space="preserve"> А2755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E59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385 750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965E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2D7E13C8" w14:textId="77777777" w:rsidTr="0023175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BB2D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9918" w14:textId="77777777" w:rsidR="00231751" w:rsidRDefault="00231751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холодильного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, морозильного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електричних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електронних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електротехнічних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F5B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114 250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BD2C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231751" w14:paraId="4FAB2D23" w14:textId="77777777" w:rsidTr="0023175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E7B" w14:textId="77777777" w:rsidR="00231751" w:rsidRDefault="00231751" w:rsidP="00231751">
            <w:pPr>
              <w:widowControl w:val="0"/>
              <w:numPr>
                <w:ilvl w:val="0"/>
                <w:numId w:val="22"/>
              </w:numPr>
              <w:tabs>
                <w:tab w:val="left" w:pos="161"/>
              </w:tabs>
              <w:suppressAutoHyphens w:val="0"/>
              <w:autoSpaceDE/>
              <w:autoSpaceDN w:val="0"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1D2" w14:textId="77777777" w:rsidR="00231751" w:rsidRDefault="0023175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26AA" w14:textId="77777777" w:rsidR="00231751" w:rsidRDefault="0023175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2 500 000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547" w14:textId="77777777" w:rsidR="00231751" w:rsidRDefault="00231751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4EF8854" w14:textId="77777777" w:rsidR="00231751" w:rsidRDefault="00231751" w:rsidP="00231751">
      <w:pPr>
        <w:rPr>
          <w:rFonts w:eastAsia="Calibri"/>
          <w:sz w:val="28"/>
          <w:szCs w:val="28"/>
          <w:lang w:val="uk-UA"/>
        </w:rPr>
      </w:pPr>
    </w:p>
    <w:p w14:paraId="244DFEF2" w14:textId="77777777" w:rsidR="00231751" w:rsidRDefault="00231751" w:rsidP="00231751">
      <w:pPr>
        <w:rPr>
          <w:rFonts w:eastAsia="Calibri"/>
          <w:sz w:val="28"/>
          <w:szCs w:val="28"/>
          <w:lang w:val="uk-UA"/>
        </w:rPr>
      </w:pPr>
    </w:p>
    <w:p w14:paraId="5F3A4A47" w14:textId="77777777" w:rsidR="00231751" w:rsidRDefault="00231751" w:rsidP="00231751">
      <w:pPr>
        <w:jc w:val="center"/>
        <w:rPr>
          <w:b/>
          <w:sz w:val="28"/>
          <w:szCs w:val="28"/>
        </w:rPr>
      </w:pPr>
    </w:p>
    <w:p w14:paraId="5A4060C1" w14:textId="77777777" w:rsidR="00231751" w:rsidRDefault="00231751" w:rsidP="00231751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5BF937EB" w14:textId="6E70A030" w:rsidR="00986E67" w:rsidRPr="00231751" w:rsidRDefault="00986E67" w:rsidP="00231751"/>
    <w:sectPr w:rsidR="00986E67" w:rsidRPr="00231751" w:rsidSect="00986E67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178E0"/>
    <w:multiLevelType w:val="hybridMultilevel"/>
    <w:tmpl w:val="E048DC42"/>
    <w:lvl w:ilvl="0" w:tplc="36140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6337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F6CE4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56EDB"/>
    <w:multiLevelType w:val="multilevel"/>
    <w:tmpl w:val="40C42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B615E"/>
    <w:multiLevelType w:val="hybridMultilevel"/>
    <w:tmpl w:val="48320A10"/>
    <w:lvl w:ilvl="0" w:tplc="4AB08EF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011B2"/>
    <w:multiLevelType w:val="hybridMultilevel"/>
    <w:tmpl w:val="8E643828"/>
    <w:lvl w:ilvl="0" w:tplc="725494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683D74"/>
    <w:multiLevelType w:val="hybridMultilevel"/>
    <w:tmpl w:val="42C03AE2"/>
    <w:lvl w:ilvl="0" w:tplc="C76875C4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7D1580"/>
    <w:multiLevelType w:val="hybridMultilevel"/>
    <w:tmpl w:val="F2A8D862"/>
    <w:lvl w:ilvl="0" w:tplc="23780430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004C7"/>
    <w:multiLevelType w:val="multilevel"/>
    <w:tmpl w:val="F6E8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80AA5"/>
    <w:multiLevelType w:val="multilevel"/>
    <w:tmpl w:val="36525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1F22B7"/>
    <w:multiLevelType w:val="hybridMultilevel"/>
    <w:tmpl w:val="45D211F2"/>
    <w:lvl w:ilvl="0" w:tplc="DD12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05927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5603E"/>
    <w:multiLevelType w:val="hybridMultilevel"/>
    <w:tmpl w:val="595CA362"/>
    <w:lvl w:ilvl="0" w:tplc="03C847D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530EB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730C3"/>
    <w:multiLevelType w:val="hybridMultilevel"/>
    <w:tmpl w:val="9FBA3EB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C5"/>
    <w:rsid w:val="00063242"/>
    <w:rsid w:val="000F5B55"/>
    <w:rsid w:val="0014787A"/>
    <w:rsid w:val="001A2695"/>
    <w:rsid w:val="001E726C"/>
    <w:rsid w:val="00210D95"/>
    <w:rsid w:val="00231751"/>
    <w:rsid w:val="00276518"/>
    <w:rsid w:val="003B6AB2"/>
    <w:rsid w:val="003E2E34"/>
    <w:rsid w:val="004148D1"/>
    <w:rsid w:val="00506C75"/>
    <w:rsid w:val="00555228"/>
    <w:rsid w:val="005B4C04"/>
    <w:rsid w:val="005C2113"/>
    <w:rsid w:val="005D3EFC"/>
    <w:rsid w:val="00663A5D"/>
    <w:rsid w:val="006D4FC5"/>
    <w:rsid w:val="00701E8F"/>
    <w:rsid w:val="00776A83"/>
    <w:rsid w:val="008E0E80"/>
    <w:rsid w:val="00986E67"/>
    <w:rsid w:val="009A2E24"/>
    <w:rsid w:val="009F4D35"/>
    <w:rsid w:val="00A75CD6"/>
    <w:rsid w:val="00AE69C7"/>
    <w:rsid w:val="00B22FB7"/>
    <w:rsid w:val="00B30FE4"/>
    <w:rsid w:val="00B71743"/>
    <w:rsid w:val="00BC7467"/>
    <w:rsid w:val="00D11CD0"/>
    <w:rsid w:val="00D7262C"/>
    <w:rsid w:val="00DF1955"/>
    <w:rsid w:val="00F838DB"/>
    <w:rsid w:val="00F84F5A"/>
    <w:rsid w:val="00FB5FDB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05D"/>
  <w15:chartTrackingRefBased/>
  <w15:docId w15:val="{18E39589-5E13-401C-951A-FB973CD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F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0F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30FE4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у Знак"/>
    <w:aliases w:val="Elenco Normale Знак,название табл/рис Знак,заголовок 1.1 Знак"/>
    <w:link w:val="a5"/>
    <w:uiPriority w:val="34"/>
    <w:locked/>
    <w:rsid w:val="00B30F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Без інтервалів Знак"/>
    <w:link w:val="a3"/>
    <w:uiPriority w:val="1"/>
    <w:locked/>
    <w:rsid w:val="00B30FE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qFormat/>
    <w:rsid w:val="00B30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rsid w:val="00B30F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B30F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B30FE4"/>
    <w:rPr>
      <w:rFonts w:ascii="Times New Roman" w:hAnsi="Times New Roman" w:cs="Times New Roman" w:hint="default"/>
      <w:sz w:val="20"/>
      <w:szCs w:val="20"/>
    </w:rPr>
  </w:style>
  <w:style w:type="paragraph" w:customStyle="1" w:styleId="docdata">
    <w:name w:val="docdata"/>
    <w:aliases w:val="docy,v5,2029,baiaagaaboqcaaadjgyaaau0bgaaaaaaaaaaaaaaaaaaaaaaaaaaaaaaaaaaaaaaaaaaaaaaaaaaaaaaaaaaaaaaaaaaaaaaaaaaaaaaaaaaaaaaaaaaaaaaaaaaaaaaaaaaaaaaaaaaaaaaaaaaaaaaaaaaaaaaaaaaaaaaaaaaaaaaaaaaaaaaaaaaaaaaaaaaaaaaaaaaaaaaaaaaaaaaaaaaaaaaaaaaaaaa"/>
    <w:basedOn w:val="a"/>
    <w:rsid w:val="00B30FE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a8"/>
    <w:unhideWhenUsed/>
    <w:qFormat/>
    <w:rsid w:val="003E2E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2E34"/>
    <w:rPr>
      <w:b/>
      <w:bCs/>
    </w:rPr>
  </w:style>
  <w:style w:type="character" w:customStyle="1" w:styleId="a8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3E2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3E2E3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3E2E34"/>
    <w:pPr>
      <w:widowControl w:val="0"/>
      <w:suppressAutoHyphens w:val="0"/>
      <w:autoSpaceDE/>
      <w:spacing w:line="360" w:lineRule="auto"/>
      <w:ind w:firstLine="400"/>
    </w:pPr>
    <w:rPr>
      <w:sz w:val="28"/>
      <w:szCs w:val="28"/>
      <w:lang w:eastAsia="en-US"/>
    </w:rPr>
  </w:style>
  <w:style w:type="paragraph" w:customStyle="1" w:styleId="10">
    <w:name w:val="Абзац списку1"/>
    <w:basedOn w:val="a"/>
    <w:qFormat/>
    <w:rsid w:val="003E2E34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rsid w:val="005C2113"/>
  </w:style>
  <w:style w:type="character" w:customStyle="1" w:styleId="ab">
    <w:name w:val="Другое_"/>
    <w:basedOn w:val="a0"/>
    <w:link w:val="ac"/>
    <w:locked/>
    <w:rsid w:val="00986E67"/>
    <w:rPr>
      <w:rFonts w:ascii="Times New Roman" w:eastAsia="Times New Roman" w:hAnsi="Times New Roman" w:cs="Times New Roman"/>
      <w:b/>
      <w:bCs/>
    </w:rPr>
  </w:style>
  <w:style w:type="paragraph" w:customStyle="1" w:styleId="ac">
    <w:name w:val="Другое"/>
    <w:basedOn w:val="a"/>
    <w:link w:val="ab"/>
    <w:rsid w:val="00986E67"/>
    <w:pPr>
      <w:widowControl w:val="0"/>
      <w:suppressAutoHyphens w:val="0"/>
      <w:autoSpaceDE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986E6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86E67"/>
    <w:pPr>
      <w:widowControl w:val="0"/>
      <w:suppressAutoHyphens w:val="0"/>
      <w:autoSpaceDE/>
      <w:spacing w:after="40"/>
    </w:pPr>
    <w:rPr>
      <w:lang w:eastAsia="en-US"/>
    </w:rPr>
  </w:style>
  <w:style w:type="table" w:styleId="ad">
    <w:name w:val="Table Grid"/>
    <w:basedOn w:val="a1"/>
    <w:uiPriority w:val="59"/>
    <w:rsid w:val="00986E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2023-11-18T09:50:00Z</dcterms:created>
  <dcterms:modified xsi:type="dcterms:W3CDTF">2023-11-18T09:50:00Z</dcterms:modified>
</cp:coreProperties>
</file>