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47" w:rsidRPr="001B66FB" w:rsidRDefault="003E2D47" w:rsidP="003E2D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2D47" w:rsidRPr="009C2F49" w:rsidRDefault="003E2D47" w:rsidP="003E2D4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E2D47" w:rsidRPr="001B66FB" w:rsidRDefault="003E2D47" w:rsidP="003E2D4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E2D47" w:rsidRPr="001B66FB" w:rsidRDefault="003E2D47" w:rsidP="003E2D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2D47" w:rsidRPr="00CD500E" w:rsidRDefault="003E2D47" w:rsidP="003E2D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E2D47" w:rsidRPr="00C86431" w:rsidRDefault="003E2D47" w:rsidP="003E2D4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1093</w:t>
      </w:r>
    </w:p>
    <w:p w:rsidR="003E2D47" w:rsidRPr="002C336D" w:rsidRDefault="003E2D47" w:rsidP="003E2D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3E2D47" w:rsidRPr="00C7620B" w:rsidTr="000C0116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3E2D47" w:rsidRPr="00C7620B" w:rsidTr="000C0116">
              <w:tc>
                <w:tcPr>
                  <w:tcW w:w="5070" w:type="dxa"/>
                </w:tcPr>
                <w:p w:rsidR="003E2D47" w:rsidRPr="00E36988" w:rsidRDefault="003E2D47" w:rsidP="000C0116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Про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внесення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змін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у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Програму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фінансового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забезпечення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представницьких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витрат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пов’язаних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діяльністю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Вербської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сільської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E2D47" w:rsidRPr="00DB0FC0" w:rsidRDefault="003E2D47" w:rsidP="000C0116">
            <w:pPr>
              <w:pStyle w:val="a8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3E2D47" w:rsidRDefault="003E2D47" w:rsidP="003E2D47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3E2D47" w:rsidRDefault="003E2D47" w:rsidP="003E2D47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5190C">
        <w:rPr>
          <w:sz w:val="28"/>
          <w:szCs w:val="28"/>
          <w:lang w:val="uk-UA"/>
        </w:rPr>
        <w:t xml:space="preserve">З метою забезпечення належної організації заходів та відповідно здійснення представницьких витрат та інших видатків, пов’язаних із діяльністю </w:t>
      </w:r>
      <w:proofErr w:type="spellStart"/>
      <w:r w:rsidRPr="0085190C">
        <w:rPr>
          <w:sz w:val="28"/>
          <w:szCs w:val="28"/>
          <w:lang w:val="uk-UA"/>
        </w:rPr>
        <w:t>Вербської</w:t>
      </w:r>
      <w:proofErr w:type="spellEnd"/>
      <w:r w:rsidRPr="0085190C">
        <w:rPr>
          <w:sz w:val="28"/>
          <w:szCs w:val="28"/>
          <w:lang w:val="uk-UA"/>
        </w:rPr>
        <w:t xml:space="preserve"> сільської ради, враховуючи Наказ Міністерства фінансів України «Про затвердження Норм коштів на представницькі цілі бюджетних установ та порядку їх витрачання» від 14 вересня 2010 року №1026, відповідно до пункту 22 частини 1 статті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3E2D47" w:rsidRPr="0085190C" w:rsidRDefault="003E2D47" w:rsidP="003E2D47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3E2D47" w:rsidRPr="00DB0FC0" w:rsidRDefault="003E2D47" w:rsidP="003E2D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DB0FC0">
        <w:rPr>
          <w:sz w:val="28"/>
          <w:szCs w:val="28"/>
        </w:rPr>
        <w:t>:</w:t>
      </w:r>
    </w:p>
    <w:p w:rsidR="003E2D47" w:rsidRPr="00B8647D" w:rsidRDefault="003E2D47" w:rsidP="003E2D47">
      <w:pPr>
        <w:jc w:val="both"/>
      </w:pPr>
    </w:p>
    <w:p w:rsidR="003E2D47" w:rsidRPr="0085190C" w:rsidRDefault="003E2D47" w:rsidP="003E2D47">
      <w:pPr>
        <w:pStyle w:val="10"/>
        <w:spacing w:line="276" w:lineRule="auto"/>
        <w:ind w:firstLine="284"/>
        <w:jc w:val="both"/>
        <w:rPr>
          <w:bCs/>
          <w:sz w:val="28"/>
          <w:szCs w:val="28"/>
        </w:rPr>
      </w:pPr>
      <w:r w:rsidRPr="0085190C">
        <w:rPr>
          <w:sz w:val="28"/>
          <w:szCs w:val="28"/>
        </w:rPr>
        <w:t xml:space="preserve">1. Внести </w:t>
      </w:r>
      <w:proofErr w:type="spellStart"/>
      <w:r w:rsidRPr="0085190C">
        <w:rPr>
          <w:sz w:val="28"/>
          <w:szCs w:val="28"/>
        </w:rPr>
        <w:t>зміни</w:t>
      </w:r>
      <w:proofErr w:type="spellEnd"/>
      <w:r w:rsidRPr="0085190C">
        <w:rPr>
          <w:sz w:val="28"/>
          <w:szCs w:val="28"/>
        </w:rPr>
        <w:t xml:space="preserve"> до </w:t>
      </w:r>
      <w:proofErr w:type="spellStart"/>
      <w:r w:rsidRPr="0085190C">
        <w:rPr>
          <w:sz w:val="28"/>
          <w:szCs w:val="28"/>
        </w:rPr>
        <w:t>Програми</w:t>
      </w:r>
      <w:proofErr w:type="spellEnd"/>
      <w:r w:rsidRPr="0085190C">
        <w:rPr>
          <w:b/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фінансового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забезпечення</w:t>
      </w:r>
      <w:proofErr w:type="spellEnd"/>
      <w:r w:rsidRPr="0085190C">
        <w:rPr>
          <w:bCs/>
          <w:sz w:val="28"/>
          <w:szCs w:val="28"/>
        </w:rPr>
        <w:t xml:space="preserve">  </w:t>
      </w:r>
      <w:proofErr w:type="spellStart"/>
      <w:r w:rsidRPr="0085190C">
        <w:rPr>
          <w:bCs/>
          <w:sz w:val="28"/>
          <w:szCs w:val="28"/>
        </w:rPr>
        <w:t>представницьких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витрат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пов’язаних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з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діяльністю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Вербської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сільської</w:t>
      </w:r>
      <w:proofErr w:type="spellEnd"/>
      <w:r w:rsidRPr="0085190C">
        <w:rPr>
          <w:bCs/>
          <w:sz w:val="28"/>
          <w:szCs w:val="28"/>
        </w:rPr>
        <w:t xml:space="preserve"> ради на 2023 </w:t>
      </w:r>
      <w:proofErr w:type="spellStart"/>
      <w:proofErr w:type="gramStart"/>
      <w:r w:rsidRPr="0085190C">
        <w:rPr>
          <w:bCs/>
          <w:sz w:val="28"/>
          <w:szCs w:val="28"/>
        </w:rPr>
        <w:t>р</w:t>
      </w:r>
      <w:proofErr w:type="gramEnd"/>
      <w:r w:rsidRPr="0085190C">
        <w:rPr>
          <w:bCs/>
          <w:sz w:val="28"/>
          <w:szCs w:val="28"/>
        </w:rPr>
        <w:t>ік</w:t>
      </w:r>
      <w:proofErr w:type="spellEnd"/>
      <w:r w:rsidRPr="0085190C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85190C">
        <w:rPr>
          <w:bCs/>
          <w:sz w:val="28"/>
          <w:szCs w:val="28"/>
        </w:rPr>
        <w:t>затвердженої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рішенням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тридцять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першої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сесії</w:t>
      </w:r>
      <w:proofErr w:type="spellEnd"/>
      <w:r w:rsidRPr="0085190C">
        <w:rPr>
          <w:bCs/>
          <w:sz w:val="28"/>
          <w:szCs w:val="28"/>
        </w:rPr>
        <w:t xml:space="preserve"> </w:t>
      </w:r>
      <w:r w:rsidRPr="0085190C">
        <w:rPr>
          <w:sz w:val="28"/>
          <w:szCs w:val="28"/>
        </w:rPr>
        <w:t xml:space="preserve">VIIІ </w:t>
      </w:r>
      <w:proofErr w:type="spellStart"/>
      <w:r w:rsidRPr="0085190C">
        <w:rPr>
          <w:sz w:val="28"/>
          <w:szCs w:val="28"/>
        </w:rPr>
        <w:t>скликання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Вербської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сільської</w:t>
      </w:r>
      <w:proofErr w:type="spellEnd"/>
      <w:r w:rsidRPr="0085190C">
        <w:rPr>
          <w:sz w:val="28"/>
          <w:szCs w:val="28"/>
        </w:rPr>
        <w:t xml:space="preserve"> ради </w:t>
      </w:r>
      <w:proofErr w:type="spellStart"/>
      <w:r w:rsidRPr="0085190C">
        <w:rPr>
          <w:sz w:val="28"/>
          <w:szCs w:val="28"/>
        </w:rPr>
        <w:t>від</w:t>
      </w:r>
      <w:proofErr w:type="spellEnd"/>
      <w:r w:rsidRPr="0085190C">
        <w:rPr>
          <w:sz w:val="28"/>
          <w:szCs w:val="28"/>
        </w:rPr>
        <w:t xml:space="preserve">  22.12. 2022 року № 913 «Про </w:t>
      </w:r>
      <w:proofErr w:type="spellStart"/>
      <w:r w:rsidRPr="0085190C">
        <w:rPr>
          <w:bCs/>
          <w:sz w:val="28"/>
          <w:szCs w:val="28"/>
        </w:rPr>
        <w:t>Програму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фінансового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забезпечення</w:t>
      </w:r>
      <w:proofErr w:type="spellEnd"/>
      <w:r w:rsidRPr="0085190C">
        <w:rPr>
          <w:bCs/>
          <w:sz w:val="28"/>
          <w:szCs w:val="28"/>
        </w:rPr>
        <w:t xml:space="preserve">  </w:t>
      </w:r>
      <w:proofErr w:type="spellStart"/>
      <w:r w:rsidRPr="0085190C">
        <w:rPr>
          <w:bCs/>
          <w:sz w:val="28"/>
          <w:szCs w:val="28"/>
        </w:rPr>
        <w:t>представницьких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витрат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пов’язаних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з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діяльністю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Вербської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сільської</w:t>
      </w:r>
      <w:proofErr w:type="spellEnd"/>
      <w:r w:rsidRPr="0085190C">
        <w:rPr>
          <w:bCs/>
          <w:sz w:val="28"/>
          <w:szCs w:val="28"/>
        </w:rPr>
        <w:t xml:space="preserve"> ради на 2023 </w:t>
      </w:r>
      <w:proofErr w:type="spellStart"/>
      <w:proofErr w:type="gramStart"/>
      <w:r w:rsidRPr="0085190C">
        <w:rPr>
          <w:bCs/>
          <w:sz w:val="28"/>
          <w:szCs w:val="28"/>
        </w:rPr>
        <w:t>р</w:t>
      </w:r>
      <w:proofErr w:type="gramEnd"/>
      <w:r w:rsidRPr="0085190C">
        <w:rPr>
          <w:bCs/>
          <w:sz w:val="28"/>
          <w:szCs w:val="28"/>
        </w:rPr>
        <w:t>ік</w:t>
      </w:r>
      <w:proofErr w:type="spellEnd"/>
      <w:r w:rsidRPr="0085190C">
        <w:rPr>
          <w:bCs/>
          <w:sz w:val="28"/>
          <w:szCs w:val="28"/>
        </w:rPr>
        <w:t xml:space="preserve">» </w:t>
      </w:r>
      <w:proofErr w:type="spellStart"/>
      <w:r w:rsidRPr="0085190C">
        <w:rPr>
          <w:bCs/>
          <w:sz w:val="28"/>
          <w:szCs w:val="28"/>
        </w:rPr>
        <w:t>зі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змінами</w:t>
      </w:r>
      <w:proofErr w:type="spellEnd"/>
      <w:r w:rsidRPr="0085190C">
        <w:rPr>
          <w:sz w:val="28"/>
          <w:szCs w:val="28"/>
        </w:rPr>
        <w:t xml:space="preserve">, </w:t>
      </w:r>
      <w:proofErr w:type="spellStart"/>
      <w:r w:rsidRPr="0085190C">
        <w:rPr>
          <w:sz w:val="28"/>
          <w:szCs w:val="28"/>
        </w:rPr>
        <w:t>затвердженими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рішеннями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тридцять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шостої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сесії</w:t>
      </w:r>
      <w:proofErr w:type="spellEnd"/>
      <w:r w:rsidRPr="0085190C">
        <w:rPr>
          <w:sz w:val="28"/>
          <w:szCs w:val="28"/>
        </w:rPr>
        <w:t xml:space="preserve"> VIIІ </w:t>
      </w:r>
      <w:proofErr w:type="spellStart"/>
      <w:r w:rsidRPr="0085190C">
        <w:rPr>
          <w:sz w:val="28"/>
          <w:szCs w:val="28"/>
        </w:rPr>
        <w:t>скликання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Вербської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сільської</w:t>
      </w:r>
      <w:proofErr w:type="spellEnd"/>
      <w:r w:rsidRPr="0085190C">
        <w:rPr>
          <w:sz w:val="28"/>
          <w:szCs w:val="28"/>
        </w:rPr>
        <w:t xml:space="preserve"> ради </w:t>
      </w:r>
      <w:proofErr w:type="spellStart"/>
      <w:r w:rsidRPr="0085190C">
        <w:rPr>
          <w:sz w:val="28"/>
          <w:szCs w:val="28"/>
        </w:rPr>
        <w:t>від</w:t>
      </w:r>
      <w:proofErr w:type="spellEnd"/>
      <w:r w:rsidRPr="0085190C">
        <w:rPr>
          <w:sz w:val="28"/>
          <w:szCs w:val="28"/>
        </w:rPr>
        <w:t xml:space="preserve"> 09.05.2023 року № 1002, </w:t>
      </w:r>
      <w:proofErr w:type="spellStart"/>
      <w:r w:rsidRPr="0085190C">
        <w:rPr>
          <w:sz w:val="28"/>
          <w:szCs w:val="28"/>
        </w:rPr>
        <w:t>тридцять</w:t>
      </w:r>
      <w:proofErr w:type="spellEnd"/>
      <w:r w:rsidRPr="0085190C">
        <w:rPr>
          <w:sz w:val="28"/>
          <w:szCs w:val="28"/>
        </w:rPr>
        <w:t xml:space="preserve"> восьмою </w:t>
      </w:r>
      <w:proofErr w:type="spellStart"/>
      <w:r w:rsidRPr="0085190C">
        <w:rPr>
          <w:sz w:val="28"/>
          <w:szCs w:val="28"/>
        </w:rPr>
        <w:t>сесією</w:t>
      </w:r>
      <w:proofErr w:type="spellEnd"/>
      <w:r w:rsidRPr="0085190C">
        <w:rPr>
          <w:sz w:val="28"/>
          <w:szCs w:val="28"/>
        </w:rPr>
        <w:t xml:space="preserve"> </w:t>
      </w:r>
      <w:r w:rsidRPr="0085190C">
        <w:rPr>
          <w:sz w:val="28"/>
          <w:szCs w:val="28"/>
          <w:lang w:val="en-US"/>
        </w:rPr>
        <w:t>VIII</w:t>
      </w:r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скликання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Вербської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сільської</w:t>
      </w:r>
      <w:proofErr w:type="spellEnd"/>
      <w:r w:rsidRPr="0085190C">
        <w:rPr>
          <w:sz w:val="28"/>
          <w:szCs w:val="28"/>
        </w:rPr>
        <w:t xml:space="preserve"> ради </w:t>
      </w:r>
      <w:proofErr w:type="spellStart"/>
      <w:r w:rsidRPr="0085190C">
        <w:rPr>
          <w:sz w:val="28"/>
          <w:szCs w:val="28"/>
        </w:rPr>
        <w:t>від</w:t>
      </w:r>
      <w:proofErr w:type="spellEnd"/>
      <w:r w:rsidRPr="0085190C">
        <w:rPr>
          <w:sz w:val="28"/>
          <w:szCs w:val="28"/>
        </w:rPr>
        <w:t xml:space="preserve"> 07.07.2023 року №1035</w:t>
      </w:r>
      <w:r w:rsidRPr="0085190C">
        <w:rPr>
          <w:bCs/>
          <w:sz w:val="28"/>
          <w:szCs w:val="28"/>
        </w:rPr>
        <w:t xml:space="preserve">, </w:t>
      </w:r>
      <w:r w:rsidRPr="0085190C">
        <w:rPr>
          <w:sz w:val="28"/>
          <w:szCs w:val="28"/>
        </w:rPr>
        <w:t xml:space="preserve">а </w:t>
      </w:r>
      <w:proofErr w:type="spellStart"/>
      <w:r w:rsidRPr="0085190C">
        <w:rPr>
          <w:sz w:val="28"/>
          <w:szCs w:val="28"/>
        </w:rPr>
        <w:t>саме</w:t>
      </w:r>
      <w:proofErr w:type="spellEnd"/>
      <w:r w:rsidRPr="0085190C">
        <w:rPr>
          <w:sz w:val="28"/>
          <w:szCs w:val="28"/>
        </w:rPr>
        <w:t xml:space="preserve">: </w:t>
      </w:r>
    </w:p>
    <w:p w:rsidR="003E2D47" w:rsidRPr="0085190C" w:rsidRDefault="003E2D47" w:rsidP="003E2D47">
      <w:pPr>
        <w:pStyle w:val="10"/>
        <w:spacing w:line="276" w:lineRule="auto"/>
        <w:ind w:firstLine="284"/>
        <w:jc w:val="both"/>
        <w:rPr>
          <w:sz w:val="28"/>
          <w:szCs w:val="28"/>
        </w:rPr>
      </w:pPr>
      <w:r w:rsidRPr="0085190C">
        <w:rPr>
          <w:sz w:val="28"/>
          <w:szCs w:val="28"/>
        </w:rPr>
        <w:t>«</w:t>
      </w:r>
      <w:proofErr w:type="spellStart"/>
      <w:r w:rsidRPr="0085190C">
        <w:rPr>
          <w:sz w:val="28"/>
          <w:szCs w:val="28"/>
        </w:rPr>
        <w:t>Фінансове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забезпечення</w:t>
      </w:r>
      <w:proofErr w:type="spellEnd"/>
      <w:r w:rsidRPr="0085190C">
        <w:rPr>
          <w:sz w:val="28"/>
          <w:szCs w:val="28"/>
        </w:rPr>
        <w:t>».</w:t>
      </w:r>
    </w:p>
    <w:p w:rsidR="003E2D47" w:rsidRPr="0085190C" w:rsidRDefault="003E2D47" w:rsidP="003E2D47">
      <w:pPr>
        <w:tabs>
          <w:tab w:val="left" w:pos="1573"/>
        </w:tabs>
        <w:spacing w:line="276" w:lineRule="auto"/>
        <w:ind w:firstLine="284"/>
        <w:jc w:val="both"/>
        <w:rPr>
          <w:sz w:val="28"/>
          <w:szCs w:val="28"/>
        </w:rPr>
      </w:pPr>
      <w:r w:rsidRPr="0085190C">
        <w:rPr>
          <w:sz w:val="28"/>
          <w:szCs w:val="28"/>
        </w:rPr>
        <w:lastRenderedPageBreak/>
        <w:t xml:space="preserve">2. </w:t>
      </w:r>
      <w:proofErr w:type="spellStart"/>
      <w:r w:rsidRPr="0085190C">
        <w:rPr>
          <w:sz w:val="28"/>
          <w:szCs w:val="28"/>
        </w:rPr>
        <w:t>Додаток</w:t>
      </w:r>
      <w:proofErr w:type="spellEnd"/>
      <w:r w:rsidRPr="0085190C">
        <w:rPr>
          <w:sz w:val="28"/>
          <w:szCs w:val="28"/>
        </w:rPr>
        <w:t xml:space="preserve"> 2 «</w:t>
      </w:r>
      <w:proofErr w:type="spellStart"/>
      <w:r w:rsidRPr="0085190C">
        <w:rPr>
          <w:sz w:val="28"/>
          <w:szCs w:val="28"/>
        </w:rPr>
        <w:t>Фінансове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забезпечення</w:t>
      </w:r>
      <w:proofErr w:type="spellEnd"/>
      <w:r w:rsidRPr="0085190C">
        <w:rPr>
          <w:sz w:val="28"/>
          <w:szCs w:val="28"/>
        </w:rPr>
        <w:t xml:space="preserve">» </w:t>
      </w:r>
      <w:proofErr w:type="spellStart"/>
      <w:r w:rsidRPr="0085190C">
        <w:rPr>
          <w:sz w:val="28"/>
          <w:szCs w:val="28"/>
        </w:rPr>
        <w:t>викласти</w:t>
      </w:r>
      <w:proofErr w:type="spellEnd"/>
      <w:r w:rsidRPr="0085190C">
        <w:rPr>
          <w:sz w:val="28"/>
          <w:szCs w:val="28"/>
        </w:rPr>
        <w:t xml:space="preserve"> </w:t>
      </w:r>
      <w:proofErr w:type="gramStart"/>
      <w:r w:rsidRPr="0085190C">
        <w:rPr>
          <w:sz w:val="28"/>
          <w:szCs w:val="28"/>
        </w:rPr>
        <w:t>в</w:t>
      </w:r>
      <w:proofErr w:type="gram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новій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редакції</w:t>
      </w:r>
      <w:proofErr w:type="spellEnd"/>
      <w:r w:rsidRPr="0085190C">
        <w:rPr>
          <w:sz w:val="28"/>
          <w:szCs w:val="28"/>
        </w:rPr>
        <w:t xml:space="preserve">, </w:t>
      </w:r>
      <w:proofErr w:type="spellStart"/>
      <w:r w:rsidRPr="0085190C">
        <w:rPr>
          <w:sz w:val="28"/>
          <w:szCs w:val="28"/>
        </w:rPr>
        <w:t>що</w:t>
      </w:r>
      <w:proofErr w:type="spellEnd"/>
      <w:r w:rsidRPr="0085190C">
        <w:rPr>
          <w:sz w:val="28"/>
          <w:szCs w:val="28"/>
        </w:rPr>
        <w:t xml:space="preserve"> </w:t>
      </w:r>
      <w:proofErr w:type="spellStart"/>
      <w:r w:rsidRPr="0085190C">
        <w:rPr>
          <w:sz w:val="28"/>
          <w:szCs w:val="28"/>
        </w:rPr>
        <w:t>додається</w:t>
      </w:r>
      <w:proofErr w:type="spellEnd"/>
      <w:r w:rsidRPr="0085190C">
        <w:rPr>
          <w:sz w:val="28"/>
          <w:szCs w:val="28"/>
        </w:rPr>
        <w:t xml:space="preserve">. </w:t>
      </w:r>
    </w:p>
    <w:p w:rsidR="003E2D47" w:rsidRPr="0085190C" w:rsidRDefault="003E2D47" w:rsidP="003E2D47">
      <w:pPr>
        <w:pStyle w:val="a5"/>
        <w:tabs>
          <w:tab w:val="left" w:pos="-284"/>
          <w:tab w:val="left" w:pos="0"/>
          <w:tab w:val="left" w:pos="567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85190C">
        <w:rPr>
          <w:sz w:val="28"/>
          <w:szCs w:val="28"/>
        </w:rPr>
        <w:t>3. Контроль за виконанням цього рішення покласти на постійну комісію з</w:t>
      </w:r>
      <w:r>
        <w:rPr>
          <w:sz w:val="28"/>
          <w:szCs w:val="28"/>
        </w:rPr>
        <w:t xml:space="preserve"> </w:t>
      </w:r>
      <w:r w:rsidRPr="0085190C">
        <w:rPr>
          <w:sz w:val="28"/>
          <w:szCs w:val="28"/>
        </w:rPr>
        <w:t xml:space="preserve">питань фінансів, бюджету, планування соціально-економічного розвитку, інвестицій та міжнародного співробітництва (Аркадій СЕМЕНЮК). </w:t>
      </w:r>
    </w:p>
    <w:p w:rsidR="003E2D47" w:rsidRPr="0085190C" w:rsidRDefault="003E2D47" w:rsidP="003E2D47">
      <w:pPr>
        <w:spacing w:line="276" w:lineRule="auto"/>
        <w:jc w:val="both"/>
        <w:rPr>
          <w:sz w:val="28"/>
          <w:szCs w:val="28"/>
          <w:lang w:val="uk-UA"/>
        </w:rPr>
      </w:pPr>
    </w:p>
    <w:p w:rsidR="003E2D47" w:rsidRDefault="003E2D47" w:rsidP="003E2D4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D47" w:rsidRPr="00DB0FC0" w:rsidRDefault="003E2D47" w:rsidP="003E2D4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D47" w:rsidRDefault="003E2D47" w:rsidP="003E2D47">
      <w:pPr>
        <w:ind w:firstLine="567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3E2D47" w:rsidRDefault="003E2D47" w:rsidP="003E2D47">
      <w:pPr>
        <w:ind w:firstLine="567"/>
        <w:rPr>
          <w:b/>
          <w:sz w:val="28"/>
          <w:szCs w:val="28"/>
          <w:lang w:val="uk-UA"/>
        </w:rPr>
      </w:pPr>
    </w:p>
    <w:p w:rsidR="003E2D47" w:rsidRDefault="003E2D47" w:rsidP="003E2D47">
      <w:pPr>
        <w:ind w:firstLine="567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br w:type="page"/>
      </w:r>
    </w:p>
    <w:p w:rsidR="003E2D47" w:rsidRPr="0085190C" w:rsidRDefault="003E2D47" w:rsidP="003E2D47">
      <w:pPr>
        <w:pStyle w:val="a3"/>
        <w:ind w:firstLine="4962"/>
        <w:rPr>
          <w:rFonts w:ascii="Times New Roman" w:hAnsi="Times New Roman"/>
          <w:sz w:val="28"/>
          <w:szCs w:val="28"/>
        </w:rPr>
      </w:pPr>
      <w:proofErr w:type="spellStart"/>
      <w:r w:rsidRPr="0085190C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85190C">
        <w:rPr>
          <w:rFonts w:ascii="Times New Roman" w:hAnsi="Times New Roman"/>
          <w:sz w:val="28"/>
          <w:szCs w:val="28"/>
        </w:rPr>
        <w:t xml:space="preserve"> 2</w:t>
      </w:r>
    </w:p>
    <w:p w:rsidR="003E2D47" w:rsidRPr="0085190C" w:rsidRDefault="003E2D47" w:rsidP="003E2D47">
      <w:pPr>
        <w:pStyle w:val="a3"/>
        <w:ind w:firstLine="4962"/>
        <w:rPr>
          <w:rFonts w:ascii="Times New Roman" w:hAnsi="Times New Roman"/>
          <w:bCs/>
          <w:sz w:val="28"/>
          <w:szCs w:val="28"/>
        </w:rPr>
      </w:pPr>
      <w:r w:rsidRPr="0085190C">
        <w:rPr>
          <w:rFonts w:ascii="Times New Roman" w:hAnsi="Times New Roman"/>
          <w:bCs/>
          <w:sz w:val="28"/>
          <w:szCs w:val="28"/>
        </w:rPr>
        <w:t xml:space="preserve">до </w:t>
      </w:r>
      <w:proofErr w:type="spellStart"/>
      <w:proofErr w:type="gramStart"/>
      <w:r w:rsidRPr="0085190C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5190C">
        <w:rPr>
          <w:rFonts w:ascii="Times New Roman" w:hAnsi="Times New Roman"/>
          <w:bCs/>
          <w:sz w:val="28"/>
          <w:szCs w:val="28"/>
        </w:rPr>
        <w:t>ішення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ради</w:t>
      </w:r>
    </w:p>
    <w:p w:rsidR="003E2D47" w:rsidRPr="0085190C" w:rsidRDefault="003E2D47" w:rsidP="003E2D47">
      <w:pPr>
        <w:pStyle w:val="a3"/>
        <w:ind w:firstLine="4962"/>
        <w:rPr>
          <w:rFonts w:ascii="Times New Roman" w:hAnsi="Times New Roman"/>
          <w:bCs/>
          <w:sz w:val="28"/>
          <w:szCs w:val="28"/>
        </w:rPr>
      </w:pPr>
      <w:proofErr w:type="spellStart"/>
      <w:r w:rsidRPr="0085190C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21 листопада  2023 року № 1093</w:t>
      </w:r>
    </w:p>
    <w:p w:rsidR="003E2D47" w:rsidRPr="0085190C" w:rsidRDefault="003E2D47" w:rsidP="003E2D4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3E2D47" w:rsidRPr="0085190C" w:rsidRDefault="003E2D47" w:rsidP="003E2D4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5190C">
        <w:rPr>
          <w:rFonts w:ascii="Times New Roman" w:hAnsi="Times New Roman"/>
          <w:bCs/>
          <w:sz w:val="28"/>
          <w:szCs w:val="28"/>
        </w:rPr>
        <w:t>Зміни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до</w:t>
      </w:r>
    </w:p>
    <w:p w:rsidR="003E2D47" w:rsidRPr="0085190C" w:rsidRDefault="003E2D47" w:rsidP="003E2D4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5190C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фінансового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представницьких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витрат</w:t>
      </w:r>
      <w:proofErr w:type="spellEnd"/>
    </w:p>
    <w:p w:rsidR="003E2D47" w:rsidRPr="0085190C" w:rsidRDefault="003E2D47" w:rsidP="003E2D4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85190C">
        <w:rPr>
          <w:rFonts w:ascii="Times New Roman" w:hAnsi="Times New Roman"/>
          <w:bCs/>
          <w:sz w:val="28"/>
          <w:szCs w:val="28"/>
        </w:rPr>
        <w:t xml:space="preserve">та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інших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видатків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пов’язаних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діяльністю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5190C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Pr="0085190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5190C">
        <w:rPr>
          <w:rFonts w:ascii="Times New Roman" w:hAnsi="Times New Roman"/>
          <w:bCs/>
          <w:sz w:val="28"/>
          <w:szCs w:val="28"/>
        </w:rPr>
        <w:t>ради</w:t>
      </w:r>
      <w:proofErr w:type="gramEnd"/>
    </w:p>
    <w:p w:rsidR="003E2D47" w:rsidRPr="0085190C" w:rsidRDefault="003E2D47" w:rsidP="003E2D4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85190C">
        <w:rPr>
          <w:rFonts w:ascii="Times New Roman" w:hAnsi="Times New Roman"/>
          <w:bCs/>
          <w:sz w:val="28"/>
          <w:szCs w:val="28"/>
        </w:rPr>
        <w:t xml:space="preserve">на 2023 </w:t>
      </w:r>
      <w:proofErr w:type="spellStart"/>
      <w:proofErr w:type="gramStart"/>
      <w:r w:rsidRPr="0085190C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5190C">
        <w:rPr>
          <w:rFonts w:ascii="Times New Roman" w:hAnsi="Times New Roman"/>
          <w:bCs/>
          <w:sz w:val="28"/>
          <w:szCs w:val="28"/>
        </w:rPr>
        <w:t>ік</w:t>
      </w:r>
      <w:proofErr w:type="spellEnd"/>
    </w:p>
    <w:p w:rsidR="003E2D47" w:rsidRPr="0085190C" w:rsidRDefault="003E2D47" w:rsidP="003E2D47">
      <w:pPr>
        <w:pStyle w:val="10"/>
        <w:spacing w:line="276" w:lineRule="auto"/>
        <w:ind w:firstLine="0"/>
        <w:rPr>
          <w:bCs/>
          <w:i/>
          <w:sz w:val="28"/>
          <w:szCs w:val="28"/>
          <w:u w:val="single"/>
        </w:rPr>
      </w:pPr>
      <w:r w:rsidRPr="0085190C">
        <w:rPr>
          <w:bCs/>
          <w:i/>
          <w:sz w:val="28"/>
          <w:szCs w:val="28"/>
          <w:u w:val="single"/>
        </w:rPr>
        <w:t xml:space="preserve">Внести </w:t>
      </w:r>
      <w:proofErr w:type="spellStart"/>
      <w:r w:rsidRPr="0085190C">
        <w:rPr>
          <w:bCs/>
          <w:i/>
          <w:sz w:val="28"/>
          <w:szCs w:val="28"/>
          <w:u w:val="single"/>
        </w:rPr>
        <w:t>зміни</w:t>
      </w:r>
      <w:proofErr w:type="spellEnd"/>
      <w:r w:rsidRPr="0085190C">
        <w:rPr>
          <w:bCs/>
          <w:i/>
          <w:sz w:val="28"/>
          <w:szCs w:val="28"/>
          <w:u w:val="single"/>
        </w:rPr>
        <w:t xml:space="preserve">, а </w:t>
      </w:r>
      <w:proofErr w:type="spellStart"/>
      <w:r w:rsidRPr="0085190C">
        <w:rPr>
          <w:bCs/>
          <w:i/>
          <w:sz w:val="28"/>
          <w:szCs w:val="28"/>
          <w:u w:val="single"/>
        </w:rPr>
        <w:t>саме</w:t>
      </w:r>
      <w:proofErr w:type="spellEnd"/>
      <w:r w:rsidRPr="0085190C">
        <w:rPr>
          <w:bCs/>
          <w:i/>
          <w:sz w:val="28"/>
          <w:szCs w:val="28"/>
          <w:u w:val="single"/>
        </w:rPr>
        <w:t xml:space="preserve">: </w:t>
      </w:r>
    </w:p>
    <w:p w:rsidR="003E2D47" w:rsidRPr="0085190C" w:rsidRDefault="003E2D47" w:rsidP="003E2D47">
      <w:pPr>
        <w:pStyle w:val="10"/>
        <w:numPr>
          <w:ilvl w:val="0"/>
          <w:numId w:val="1"/>
        </w:numPr>
        <w:spacing w:after="0" w:line="276" w:lineRule="auto"/>
        <w:jc w:val="both"/>
        <w:rPr>
          <w:bCs/>
          <w:sz w:val="28"/>
          <w:szCs w:val="28"/>
        </w:rPr>
      </w:pPr>
      <w:r w:rsidRPr="0085190C">
        <w:rPr>
          <w:bCs/>
          <w:sz w:val="28"/>
          <w:szCs w:val="28"/>
        </w:rPr>
        <w:t>«</w:t>
      </w:r>
      <w:proofErr w:type="spellStart"/>
      <w:r w:rsidRPr="0085190C">
        <w:rPr>
          <w:bCs/>
          <w:sz w:val="28"/>
          <w:szCs w:val="28"/>
        </w:rPr>
        <w:t>Фінансове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забезпечення</w:t>
      </w:r>
      <w:proofErr w:type="spellEnd"/>
      <w:r w:rsidRPr="0085190C">
        <w:rPr>
          <w:bCs/>
          <w:sz w:val="28"/>
          <w:szCs w:val="28"/>
        </w:rPr>
        <w:t xml:space="preserve">» </w:t>
      </w:r>
      <w:proofErr w:type="spellStart"/>
      <w:r w:rsidRPr="0085190C">
        <w:rPr>
          <w:bCs/>
          <w:sz w:val="28"/>
          <w:szCs w:val="28"/>
        </w:rPr>
        <w:t>викласти</w:t>
      </w:r>
      <w:proofErr w:type="spellEnd"/>
      <w:r w:rsidRPr="0085190C">
        <w:rPr>
          <w:bCs/>
          <w:sz w:val="28"/>
          <w:szCs w:val="28"/>
        </w:rPr>
        <w:t xml:space="preserve"> в </w:t>
      </w:r>
      <w:proofErr w:type="spellStart"/>
      <w:r w:rsidRPr="0085190C">
        <w:rPr>
          <w:bCs/>
          <w:sz w:val="28"/>
          <w:szCs w:val="28"/>
        </w:rPr>
        <w:t>новій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редакції</w:t>
      </w:r>
      <w:proofErr w:type="spellEnd"/>
      <w:r w:rsidRPr="0085190C">
        <w:rPr>
          <w:bCs/>
          <w:sz w:val="28"/>
          <w:szCs w:val="28"/>
        </w:rPr>
        <w:t xml:space="preserve">, а </w:t>
      </w:r>
      <w:proofErr w:type="spellStart"/>
      <w:r w:rsidRPr="0085190C">
        <w:rPr>
          <w:bCs/>
          <w:sz w:val="28"/>
          <w:szCs w:val="28"/>
        </w:rPr>
        <w:t>саме</w:t>
      </w:r>
      <w:proofErr w:type="spellEnd"/>
      <w:r w:rsidRPr="0085190C">
        <w:rPr>
          <w:bCs/>
          <w:sz w:val="28"/>
          <w:szCs w:val="28"/>
        </w:rPr>
        <w:t xml:space="preserve">: </w:t>
      </w:r>
      <w:proofErr w:type="spellStart"/>
      <w:r w:rsidRPr="0085190C">
        <w:rPr>
          <w:bCs/>
          <w:sz w:val="28"/>
          <w:szCs w:val="28"/>
        </w:rPr>
        <w:t>фінансування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програми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здійснюється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з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коштів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місцевого</w:t>
      </w:r>
      <w:proofErr w:type="spellEnd"/>
      <w:r w:rsidRPr="0085190C">
        <w:rPr>
          <w:bCs/>
          <w:sz w:val="28"/>
          <w:szCs w:val="28"/>
        </w:rPr>
        <w:t xml:space="preserve"> бюджету, а </w:t>
      </w:r>
      <w:proofErr w:type="spellStart"/>
      <w:r w:rsidRPr="0085190C">
        <w:rPr>
          <w:bCs/>
          <w:sz w:val="28"/>
          <w:szCs w:val="28"/>
        </w:rPr>
        <w:t>також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інших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джерел</w:t>
      </w:r>
      <w:proofErr w:type="spellEnd"/>
      <w:r w:rsidRPr="0085190C">
        <w:rPr>
          <w:bCs/>
          <w:sz w:val="28"/>
          <w:szCs w:val="28"/>
        </w:rPr>
        <w:t xml:space="preserve"> не </w:t>
      </w:r>
      <w:proofErr w:type="spellStart"/>
      <w:r w:rsidRPr="0085190C">
        <w:rPr>
          <w:bCs/>
          <w:sz w:val="28"/>
          <w:szCs w:val="28"/>
        </w:rPr>
        <w:t>заборонених</w:t>
      </w:r>
      <w:proofErr w:type="spellEnd"/>
      <w:r w:rsidRPr="0085190C">
        <w:rPr>
          <w:bCs/>
          <w:sz w:val="28"/>
          <w:szCs w:val="28"/>
        </w:rPr>
        <w:t xml:space="preserve"> </w:t>
      </w:r>
      <w:proofErr w:type="spellStart"/>
      <w:r w:rsidRPr="0085190C">
        <w:rPr>
          <w:bCs/>
          <w:sz w:val="28"/>
          <w:szCs w:val="28"/>
        </w:rPr>
        <w:t>законодавством</w:t>
      </w:r>
      <w:proofErr w:type="spellEnd"/>
      <w:r w:rsidRPr="0085190C">
        <w:rPr>
          <w:bCs/>
          <w:sz w:val="28"/>
          <w:szCs w:val="28"/>
        </w:rPr>
        <w:t xml:space="preserve"> в </w:t>
      </w:r>
      <w:proofErr w:type="spellStart"/>
      <w:r w:rsidRPr="0085190C">
        <w:rPr>
          <w:bCs/>
          <w:sz w:val="28"/>
          <w:szCs w:val="28"/>
        </w:rPr>
        <w:t>сумі</w:t>
      </w:r>
      <w:proofErr w:type="spellEnd"/>
      <w:r w:rsidRPr="0085190C">
        <w:rPr>
          <w:bCs/>
          <w:sz w:val="28"/>
          <w:szCs w:val="28"/>
        </w:rPr>
        <w:t xml:space="preserve"> 40 120 </w:t>
      </w:r>
      <w:proofErr w:type="spellStart"/>
      <w:r w:rsidRPr="0085190C">
        <w:rPr>
          <w:bCs/>
          <w:sz w:val="28"/>
          <w:szCs w:val="28"/>
        </w:rPr>
        <w:t>грн</w:t>
      </w:r>
      <w:proofErr w:type="spellEnd"/>
      <w:r w:rsidRPr="0085190C">
        <w:rPr>
          <w:bCs/>
          <w:sz w:val="28"/>
          <w:szCs w:val="28"/>
        </w:rPr>
        <w:t>.</w:t>
      </w:r>
    </w:p>
    <w:p w:rsidR="003E2D47" w:rsidRDefault="003E2D47" w:rsidP="003E2D47">
      <w:pPr>
        <w:pStyle w:val="10"/>
        <w:ind w:firstLine="0"/>
        <w:rPr>
          <w:b/>
          <w:bCs/>
        </w:rPr>
      </w:pPr>
    </w:p>
    <w:tbl>
      <w:tblPr>
        <w:tblStyle w:val="a7"/>
        <w:tblW w:w="10200" w:type="dxa"/>
        <w:tblInd w:w="-318" w:type="dxa"/>
        <w:tblLayout w:type="fixed"/>
        <w:tblLook w:val="04A0"/>
      </w:tblPr>
      <w:tblGrid>
        <w:gridCol w:w="5951"/>
        <w:gridCol w:w="1274"/>
        <w:gridCol w:w="1275"/>
        <w:gridCol w:w="1700"/>
      </w:tblGrid>
      <w:tr w:rsidR="003E2D47" w:rsidRPr="0085190C" w:rsidTr="000C0116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widowControl w:val="0"/>
              <w:tabs>
                <w:tab w:val="left" w:pos="1573"/>
              </w:tabs>
              <w:jc w:val="center"/>
              <w:rPr>
                <w:rFonts w:ascii="DejaVu Sans" w:eastAsia="DejaVu Sans" w:hAnsi="DejaVu Sans" w:cs="DejaVu Sans"/>
                <w:color w:val="000000"/>
                <w:sz w:val="28"/>
                <w:szCs w:val="28"/>
                <w:lang w:val="uk-UA" w:eastAsia="en-US" w:bidi="uk-UA"/>
              </w:rPr>
            </w:pPr>
            <w:proofErr w:type="spellStart"/>
            <w:r w:rsidRPr="0085190C">
              <w:rPr>
                <w:sz w:val="28"/>
                <w:szCs w:val="28"/>
                <w:lang w:eastAsia="en-US"/>
              </w:rPr>
              <w:t>Змі</w:t>
            </w:r>
            <w:proofErr w:type="gramStart"/>
            <w:r w:rsidRPr="0085190C"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8519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заходів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7" w:rsidRPr="0085190C" w:rsidRDefault="003E2D47" w:rsidP="000C0116">
            <w:pPr>
              <w:widowControl w:val="0"/>
              <w:ind w:hanging="99"/>
              <w:jc w:val="center"/>
              <w:rPr>
                <w:rFonts w:eastAsia="DejaVu Sans" w:cs="DejaVu Sans"/>
                <w:color w:val="000000"/>
                <w:sz w:val="28"/>
                <w:szCs w:val="28"/>
                <w:lang w:eastAsia="en-US" w:bidi="uk-UA"/>
              </w:rPr>
            </w:pPr>
            <w:proofErr w:type="spellStart"/>
            <w:r w:rsidRPr="0085190C">
              <w:rPr>
                <w:sz w:val="28"/>
                <w:szCs w:val="28"/>
                <w:lang w:eastAsia="en-US"/>
              </w:rPr>
              <w:t>Обсяги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5190C">
              <w:rPr>
                <w:sz w:val="28"/>
                <w:szCs w:val="28"/>
                <w:lang w:eastAsia="en-US"/>
              </w:rPr>
              <w:t>Джерело</w:t>
            </w:r>
            <w:proofErr w:type="spellEnd"/>
          </w:p>
          <w:p w:rsidR="003E2D47" w:rsidRPr="0085190C" w:rsidRDefault="003E2D47" w:rsidP="000C0116">
            <w:pPr>
              <w:widowControl w:val="0"/>
              <w:jc w:val="center"/>
              <w:rPr>
                <w:rFonts w:eastAsia="DejaVu Sans" w:cs="DejaVu Sans"/>
                <w:color w:val="000000"/>
                <w:sz w:val="28"/>
                <w:szCs w:val="28"/>
                <w:lang w:val="uk-UA" w:eastAsia="en-US" w:bidi="uk-UA"/>
              </w:rPr>
            </w:pPr>
            <w:proofErr w:type="spellStart"/>
            <w:r w:rsidRPr="0085190C"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7" w:rsidRPr="0085190C" w:rsidRDefault="003E2D47" w:rsidP="000C0116">
            <w:pPr>
              <w:widowControl w:val="0"/>
              <w:ind w:hanging="99"/>
              <w:jc w:val="center"/>
              <w:rPr>
                <w:rFonts w:eastAsia="DejaVu Sans" w:cs="DejaVu Sans"/>
                <w:color w:val="000000"/>
                <w:sz w:val="28"/>
                <w:szCs w:val="28"/>
                <w:lang w:eastAsia="en-US" w:bidi="uk-UA"/>
              </w:rPr>
            </w:pPr>
            <w:proofErr w:type="spellStart"/>
            <w:r w:rsidRPr="0085190C">
              <w:rPr>
                <w:sz w:val="28"/>
                <w:szCs w:val="28"/>
                <w:lang w:eastAsia="en-US"/>
              </w:rPr>
              <w:t>Відповідальні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виконавці</w:t>
            </w:r>
            <w:proofErr w:type="spellEnd"/>
          </w:p>
        </w:tc>
      </w:tr>
      <w:tr w:rsidR="003E2D47" w:rsidRPr="0085190C" w:rsidTr="000C0116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pStyle w:val="ab"/>
              <w:tabs>
                <w:tab w:val="left" w:pos="2664"/>
                <w:tab w:val="left" w:pos="4022"/>
              </w:tabs>
              <w:jc w:val="both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Проведення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на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території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Вербської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сільської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ради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заходів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загальнодержавного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обласного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районного,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місцевого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та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міжнародного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значення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пов’язаних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із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прийомом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народних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депутатів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України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керівництва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обласної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районної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ради та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обласної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державної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адміністрації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делегацій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від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інших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громад,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іноземних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делегацій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з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метою: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пропагування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історичних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досягнень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та </w:t>
            </w:r>
            <w:proofErr w:type="spellStart"/>
            <w:proofErr w:type="gramStart"/>
            <w:r w:rsidRPr="0085190C">
              <w:rPr>
                <w:b w:val="0"/>
                <w:sz w:val="28"/>
                <w:szCs w:val="28"/>
                <w:lang w:bidi="uk-UA"/>
              </w:rPr>
              <w:t>соц</w:t>
            </w:r>
            <w:proofErr w:type="gramEnd"/>
            <w:r w:rsidRPr="0085190C">
              <w:rPr>
                <w:b w:val="0"/>
                <w:sz w:val="28"/>
                <w:szCs w:val="28"/>
                <w:lang w:bidi="uk-UA"/>
              </w:rPr>
              <w:t>іально-економічного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розвитку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громади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>(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історичної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спадщини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краєзнавства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наукового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та </w:t>
            </w:r>
            <w:proofErr w:type="spellStart"/>
            <w:proofErr w:type="gramStart"/>
            <w:r w:rsidRPr="0085190C">
              <w:rPr>
                <w:b w:val="0"/>
                <w:sz w:val="28"/>
                <w:szCs w:val="28"/>
                <w:lang w:bidi="uk-UA"/>
              </w:rPr>
              <w:t>соц</w:t>
            </w:r>
            <w:proofErr w:type="gramEnd"/>
            <w:r w:rsidRPr="0085190C">
              <w:rPr>
                <w:b w:val="0"/>
                <w:sz w:val="28"/>
                <w:szCs w:val="28"/>
                <w:lang w:bidi="uk-UA"/>
              </w:rPr>
              <w:t>іально-економічного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потенціалу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);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поширення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інформації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щодо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позитивного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досвіду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роботи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органу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місцевого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самоврядування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діяльності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територіальної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громади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. </w:t>
            </w:r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(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витрати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на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проведення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офіційного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прийому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представників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транспортне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забезпечення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буфетне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обслуговування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придбання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поліграфічної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продукції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роздаткового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матеріалу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із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символікою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громади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та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регіону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(ручки,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блокноти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брошури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інше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widowControl w:val="0"/>
              <w:tabs>
                <w:tab w:val="left" w:pos="1573"/>
              </w:tabs>
              <w:jc w:val="both"/>
              <w:rPr>
                <w:rFonts w:eastAsia="DejaVu Sans"/>
                <w:sz w:val="28"/>
                <w:szCs w:val="28"/>
                <w:lang w:val="uk-UA" w:eastAsia="en-US" w:bidi="uk-UA"/>
              </w:rPr>
            </w:pPr>
            <w:r w:rsidRPr="0085190C">
              <w:rPr>
                <w:sz w:val="28"/>
                <w:szCs w:val="28"/>
                <w:lang w:eastAsia="en-US"/>
              </w:rPr>
              <w:t xml:space="preserve">120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7" w:rsidRPr="0085190C" w:rsidRDefault="003E2D47" w:rsidP="000C0116">
            <w:pPr>
              <w:tabs>
                <w:tab w:val="left" w:pos="1573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E2D47" w:rsidRPr="0085190C" w:rsidRDefault="003E2D47" w:rsidP="000C0116">
            <w:pPr>
              <w:tabs>
                <w:tab w:val="left" w:pos="1573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3E2D47" w:rsidRPr="0085190C" w:rsidRDefault="003E2D47" w:rsidP="000C0116">
            <w:pPr>
              <w:tabs>
                <w:tab w:val="left" w:pos="1573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3E2D47" w:rsidRPr="0085190C" w:rsidRDefault="003E2D47" w:rsidP="000C0116">
            <w:pPr>
              <w:tabs>
                <w:tab w:val="left" w:pos="1573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3E2D47" w:rsidRPr="0085190C" w:rsidRDefault="003E2D47" w:rsidP="000C0116">
            <w:pPr>
              <w:tabs>
                <w:tab w:val="left" w:pos="1573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3E2D47" w:rsidRPr="0085190C" w:rsidRDefault="003E2D47" w:rsidP="000C0116">
            <w:pPr>
              <w:tabs>
                <w:tab w:val="left" w:pos="1573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3E2D47" w:rsidRPr="0085190C" w:rsidRDefault="003E2D47" w:rsidP="000C0116">
            <w:pPr>
              <w:widowControl w:val="0"/>
              <w:tabs>
                <w:tab w:val="left" w:pos="1573"/>
              </w:tabs>
              <w:jc w:val="both"/>
              <w:rPr>
                <w:rFonts w:ascii="DejaVu Sans" w:eastAsia="DejaVu Sans" w:hAnsi="DejaVu Sans" w:cs="DejaVu Sans"/>
                <w:color w:val="000000"/>
                <w:sz w:val="28"/>
                <w:szCs w:val="28"/>
                <w:lang w:val="uk-UA" w:eastAsia="en-US" w:bidi="uk-UA"/>
              </w:rPr>
            </w:pPr>
            <w:r w:rsidRPr="0085190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7" w:rsidRPr="0085190C" w:rsidRDefault="003E2D47" w:rsidP="000C0116">
            <w:pPr>
              <w:pStyle w:val="ab"/>
              <w:ind w:left="140"/>
              <w:jc w:val="both"/>
              <w:rPr>
                <w:b w:val="0"/>
                <w:sz w:val="28"/>
                <w:szCs w:val="28"/>
                <w:lang w:bidi="uk-UA"/>
              </w:rPr>
            </w:pPr>
          </w:p>
          <w:p w:rsidR="003E2D47" w:rsidRPr="0085190C" w:rsidRDefault="003E2D47" w:rsidP="000C0116">
            <w:pPr>
              <w:pStyle w:val="ab"/>
              <w:ind w:left="140"/>
              <w:jc w:val="both"/>
              <w:rPr>
                <w:b w:val="0"/>
                <w:sz w:val="28"/>
                <w:szCs w:val="28"/>
                <w:lang w:bidi="uk-UA"/>
              </w:rPr>
            </w:pPr>
          </w:p>
          <w:p w:rsidR="003E2D47" w:rsidRPr="0085190C" w:rsidRDefault="003E2D47" w:rsidP="000C0116">
            <w:pPr>
              <w:pStyle w:val="ab"/>
              <w:ind w:left="140"/>
              <w:jc w:val="both"/>
              <w:rPr>
                <w:b w:val="0"/>
                <w:sz w:val="28"/>
                <w:szCs w:val="28"/>
                <w:lang w:bidi="uk-UA"/>
              </w:rPr>
            </w:pPr>
          </w:p>
          <w:p w:rsidR="003E2D47" w:rsidRPr="0085190C" w:rsidRDefault="003E2D47" w:rsidP="000C0116">
            <w:pPr>
              <w:pStyle w:val="ab"/>
              <w:ind w:left="140"/>
              <w:jc w:val="both"/>
              <w:rPr>
                <w:b w:val="0"/>
                <w:sz w:val="28"/>
                <w:szCs w:val="28"/>
                <w:lang w:bidi="uk-UA"/>
              </w:rPr>
            </w:pPr>
          </w:p>
          <w:p w:rsidR="003E2D47" w:rsidRPr="0085190C" w:rsidRDefault="003E2D47" w:rsidP="000C0116">
            <w:pPr>
              <w:pStyle w:val="ab"/>
              <w:ind w:left="140"/>
              <w:jc w:val="both"/>
              <w:rPr>
                <w:b w:val="0"/>
                <w:sz w:val="28"/>
                <w:szCs w:val="28"/>
                <w:lang w:bidi="uk-UA"/>
              </w:rPr>
            </w:pPr>
          </w:p>
          <w:p w:rsidR="003E2D47" w:rsidRPr="0085190C" w:rsidRDefault="003E2D47" w:rsidP="000C0116">
            <w:pPr>
              <w:pStyle w:val="ab"/>
              <w:ind w:left="140"/>
              <w:jc w:val="both"/>
              <w:rPr>
                <w:b w:val="0"/>
                <w:sz w:val="28"/>
                <w:szCs w:val="28"/>
                <w:lang w:bidi="uk-UA"/>
              </w:rPr>
            </w:pPr>
          </w:p>
          <w:p w:rsidR="003E2D47" w:rsidRPr="0085190C" w:rsidRDefault="003E2D47" w:rsidP="000C0116">
            <w:pPr>
              <w:pStyle w:val="ab"/>
              <w:ind w:left="140"/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Виконком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Вербської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сільської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ради</w:t>
            </w:r>
          </w:p>
          <w:p w:rsidR="003E2D47" w:rsidRPr="0085190C" w:rsidRDefault="003E2D47" w:rsidP="000C0116">
            <w:pPr>
              <w:widowControl w:val="0"/>
              <w:tabs>
                <w:tab w:val="left" w:pos="1573"/>
              </w:tabs>
              <w:ind w:left="140"/>
              <w:jc w:val="both"/>
              <w:rPr>
                <w:sz w:val="28"/>
                <w:szCs w:val="28"/>
                <w:lang w:val="uk-UA" w:eastAsia="en-US"/>
              </w:rPr>
            </w:pPr>
            <w:r w:rsidRPr="0085190C">
              <w:rPr>
                <w:sz w:val="28"/>
                <w:szCs w:val="28"/>
                <w:lang w:eastAsia="en-US"/>
              </w:rPr>
              <w:t xml:space="preserve">Вербська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3E2D47" w:rsidRPr="0085190C" w:rsidTr="000C0116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pStyle w:val="ab"/>
              <w:tabs>
                <w:tab w:val="left" w:pos="1891"/>
                <w:tab w:val="left" w:pos="3576"/>
              </w:tabs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Проведення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та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матеріально-технічне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забезпечення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>:</w:t>
            </w:r>
            <w:r w:rsidRPr="0085190C">
              <w:rPr>
                <w:b w:val="0"/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семінарів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конференцій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круглих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столів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щодо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покращення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взаємодії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органів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місцевого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самоврядування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депутатів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та громад у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вирішенні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питань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proofErr w:type="gramStart"/>
            <w:r w:rsidRPr="0085190C">
              <w:rPr>
                <w:b w:val="0"/>
                <w:sz w:val="28"/>
                <w:szCs w:val="28"/>
                <w:lang w:bidi="uk-UA"/>
              </w:rPr>
              <w:t>соц</w:t>
            </w:r>
            <w:proofErr w:type="gramEnd"/>
            <w:r w:rsidRPr="0085190C">
              <w:rPr>
                <w:b w:val="0"/>
                <w:sz w:val="28"/>
                <w:szCs w:val="28"/>
                <w:lang w:bidi="uk-UA"/>
              </w:rPr>
              <w:t>іально-економічного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lastRenderedPageBreak/>
              <w:t>розвитку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територій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;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засідань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постійних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депутатських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комісій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сесій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сільської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ради.</w:t>
            </w:r>
          </w:p>
          <w:p w:rsidR="003E2D47" w:rsidRPr="0085190C" w:rsidRDefault="003E2D47" w:rsidP="000C0116">
            <w:pPr>
              <w:pStyle w:val="ab"/>
              <w:tabs>
                <w:tab w:val="left" w:pos="1291"/>
                <w:tab w:val="left" w:pos="2962"/>
                <w:tab w:val="left" w:pos="3835"/>
              </w:tabs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(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придбання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роздаткового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матеріалу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із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символікою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громади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(ручки,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блокноти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брошури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та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ін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.),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придбання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чаю,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кави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цукру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солодощів</w:t>
            </w:r>
            <w:proofErr w:type="gram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,о</w:t>
            </w:r>
            <w:proofErr w:type="gram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дноразового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посуду, води),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витрати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набуфетне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обслуговування</w:t>
            </w:r>
            <w:proofErr w:type="spellEnd"/>
            <w:r w:rsidRPr="0085190C">
              <w:rPr>
                <w:b w:val="0"/>
                <w:i/>
                <w:iCs/>
                <w:sz w:val="28"/>
                <w:szCs w:val="28"/>
                <w:lang w:bidi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widowControl w:val="0"/>
              <w:tabs>
                <w:tab w:val="left" w:pos="1573"/>
              </w:tabs>
              <w:jc w:val="both"/>
              <w:rPr>
                <w:rFonts w:eastAsia="DejaVu Sans"/>
                <w:sz w:val="28"/>
                <w:szCs w:val="28"/>
                <w:lang w:val="uk-UA" w:eastAsia="en-US" w:bidi="uk-UA"/>
              </w:rPr>
            </w:pPr>
            <w:r w:rsidRPr="0085190C">
              <w:rPr>
                <w:sz w:val="28"/>
                <w:szCs w:val="28"/>
                <w:lang w:eastAsia="en-US"/>
              </w:rPr>
              <w:lastRenderedPageBreak/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7" w:rsidRPr="0085190C" w:rsidRDefault="003E2D47" w:rsidP="000C0116">
            <w:pPr>
              <w:tabs>
                <w:tab w:val="left" w:pos="1573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E2D47" w:rsidRPr="0085190C" w:rsidRDefault="003E2D47" w:rsidP="000C0116">
            <w:pPr>
              <w:widowControl w:val="0"/>
              <w:tabs>
                <w:tab w:val="left" w:pos="1573"/>
              </w:tabs>
              <w:jc w:val="both"/>
              <w:rPr>
                <w:rFonts w:ascii="DejaVu Sans" w:eastAsia="DejaVu Sans" w:hAnsi="DejaVu Sans" w:cs="DejaVu Sans"/>
                <w:color w:val="000000"/>
                <w:sz w:val="28"/>
                <w:szCs w:val="28"/>
                <w:lang w:val="uk-UA" w:eastAsia="en-US" w:bidi="uk-UA"/>
              </w:rPr>
            </w:pPr>
            <w:r w:rsidRPr="0085190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сільсько</w:t>
            </w:r>
            <w:r w:rsidRPr="0085190C">
              <w:rPr>
                <w:sz w:val="28"/>
                <w:szCs w:val="28"/>
                <w:lang w:eastAsia="en-US"/>
              </w:rPr>
              <w:lastRenderedPageBreak/>
              <w:t>ї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7" w:rsidRPr="0085190C" w:rsidRDefault="003E2D47" w:rsidP="000C0116">
            <w:pPr>
              <w:pStyle w:val="ab"/>
              <w:jc w:val="both"/>
              <w:rPr>
                <w:b w:val="0"/>
                <w:sz w:val="28"/>
                <w:szCs w:val="28"/>
                <w:lang w:bidi="uk-UA"/>
              </w:rPr>
            </w:pPr>
          </w:p>
          <w:p w:rsidR="003E2D47" w:rsidRPr="0085190C" w:rsidRDefault="003E2D47" w:rsidP="000C0116">
            <w:pPr>
              <w:pStyle w:val="ab"/>
              <w:ind w:left="140"/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Виконком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Вербської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5190C">
              <w:rPr>
                <w:b w:val="0"/>
                <w:sz w:val="28"/>
                <w:szCs w:val="28"/>
                <w:lang w:bidi="uk-UA"/>
              </w:rPr>
              <w:t>сільської</w:t>
            </w:r>
            <w:proofErr w:type="spellEnd"/>
            <w:r w:rsidRPr="0085190C">
              <w:rPr>
                <w:b w:val="0"/>
                <w:sz w:val="28"/>
                <w:szCs w:val="28"/>
                <w:lang w:bidi="uk-UA"/>
              </w:rPr>
              <w:t xml:space="preserve"> ради</w:t>
            </w:r>
          </w:p>
          <w:p w:rsidR="003E2D47" w:rsidRPr="0085190C" w:rsidRDefault="003E2D47" w:rsidP="000C0116">
            <w:pPr>
              <w:widowControl w:val="0"/>
              <w:tabs>
                <w:tab w:val="left" w:pos="1573"/>
              </w:tabs>
              <w:jc w:val="both"/>
              <w:rPr>
                <w:rFonts w:ascii="DejaVu Sans" w:eastAsia="DejaVu Sans" w:hAnsi="DejaVu Sans" w:cs="DejaVu Sans"/>
                <w:color w:val="000000"/>
                <w:sz w:val="28"/>
                <w:szCs w:val="28"/>
                <w:lang w:val="uk-UA" w:eastAsia="en-US" w:bidi="uk-UA"/>
              </w:rPr>
            </w:pPr>
            <w:r w:rsidRPr="0085190C">
              <w:rPr>
                <w:sz w:val="28"/>
                <w:szCs w:val="28"/>
                <w:lang w:eastAsia="en-US"/>
              </w:rPr>
              <w:lastRenderedPageBreak/>
              <w:t xml:space="preserve">Вербська </w:t>
            </w:r>
            <w:proofErr w:type="spellStart"/>
            <w:r w:rsidRPr="0085190C"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 w:rsidRPr="0085190C">
              <w:rPr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3E2D47" w:rsidRPr="0085190C" w:rsidTr="000C0116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widowControl w:val="0"/>
              <w:tabs>
                <w:tab w:val="left" w:pos="1573"/>
              </w:tabs>
              <w:rPr>
                <w:rFonts w:eastAsia="DejaVu Sans"/>
                <w:b/>
                <w:color w:val="000000"/>
                <w:sz w:val="28"/>
                <w:szCs w:val="28"/>
                <w:lang w:val="uk-UA" w:eastAsia="en-US" w:bidi="uk-UA"/>
              </w:rPr>
            </w:pPr>
            <w:proofErr w:type="spellStart"/>
            <w:r w:rsidRPr="0085190C">
              <w:rPr>
                <w:b/>
                <w:sz w:val="28"/>
                <w:szCs w:val="28"/>
                <w:lang w:eastAsia="en-US"/>
              </w:rPr>
              <w:lastRenderedPageBreak/>
              <w:t>Всього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widowControl w:val="0"/>
              <w:tabs>
                <w:tab w:val="left" w:pos="1573"/>
              </w:tabs>
              <w:jc w:val="center"/>
              <w:rPr>
                <w:rFonts w:eastAsia="DejaVu Sans"/>
                <w:b/>
                <w:color w:val="000000"/>
                <w:sz w:val="28"/>
                <w:szCs w:val="28"/>
                <w:lang w:val="uk-UA" w:eastAsia="en-US" w:bidi="uk-UA"/>
              </w:rPr>
            </w:pPr>
            <w:r w:rsidRPr="0085190C">
              <w:rPr>
                <w:b/>
                <w:sz w:val="28"/>
                <w:szCs w:val="28"/>
                <w:lang w:eastAsia="en-US"/>
              </w:rPr>
              <w:t>40 120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widowControl w:val="0"/>
              <w:rPr>
                <w:rFonts w:ascii="DejaVu Sans" w:eastAsia="DejaVu Sans" w:hAnsi="DejaVu Sans" w:cs="DejaVu Sans"/>
                <w:sz w:val="28"/>
                <w:szCs w:val="28"/>
                <w:lang w:val="uk-UA" w:eastAsia="en-US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7" w:rsidRPr="0085190C" w:rsidRDefault="003E2D47" w:rsidP="000C0116">
            <w:pPr>
              <w:widowControl w:val="0"/>
              <w:rPr>
                <w:rFonts w:ascii="DejaVu Sans" w:eastAsia="DejaVu Sans" w:hAnsi="DejaVu Sans" w:cs="DejaVu Sans"/>
                <w:sz w:val="28"/>
                <w:szCs w:val="28"/>
                <w:lang w:val="uk-UA" w:eastAsia="en-US" w:bidi="uk-UA"/>
              </w:rPr>
            </w:pPr>
          </w:p>
        </w:tc>
      </w:tr>
    </w:tbl>
    <w:p w:rsidR="003E2D47" w:rsidRDefault="003E2D47" w:rsidP="003E2D47">
      <w:pPr>
        <w:pStyle w:val="20"/>
        <w:rPr>
          <w:b/>
          <w:sz w:val="28"/>
          <w:szCs w:val="28"/>
          <w:lang w:val="uk-UA" w:bidi="uk-UA"/>
        </w:rPr>
      </w:pPr>
    </w:p>
    <w:p w:rsidR="003E2D47" w:rsidRDefault="003E2D47" w:rsidP="003E2D47">
      <w:pPr>
        <w:pStyle w:val="20"/>
        <w:rPr>
          <w:b/>
          <w:sz w:val="28"/>
          <w:szCs w:val="28"/>
        </w:rPr>
      </w:pPr>
    </w:p>
    <w:p w:rsidR="003E2D47" w:rsidRDefault="003E2D47" w:rsidP="003E2D47">
      <w:pPr>
        <w:pStyle w:val="20"/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  <w:r>
        <w:t xml:space="preserve"> </w:t>
      </w:r>
    </w:p>
    <w:p w:rsidR="003E2D47" w:rsidRDefault="003E2D47" w:rsidP="003E2D47">
      <w:pPr>
        <w:suppressAutoHyphens w:val="0"/>
        <w:autoSpaceDE/>
        <w:spacing w:after="200" w:line="276" w:lineRule="auto"/>
        <w:rPr>
          <w:lang w:eastAsia="en-US"/>
        </w:rPr>
      </w:pPr>
      <w: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FC1"/>
    <w:multiLevelType w:val="multilevel"/>
    <w:tmpl w:val="2A50A9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D47"/>
    <w:rsid w:val="00135B15"/>
    <w:rsid w:val="00197256"/>
    <w:rsid w:val="00281A9B"/>
    <w:rsid w:val="003E2D47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E2D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E2D47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E2D47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E2D4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3E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3E2D4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uiPriority w:val="99"/>
    <w:locked/>
    <w:rsid w:val="003E2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0"/>
    <w:locked/>
    <w:rsid w:val="003E2D4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9"/>
    <w:rsid w:val="003E2D47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a">
    <w:name w:val="Другое_"/>
    <w:basedOn w:val="a0"/>
    <w:link w:val="ab"/>
    <w:locked/>
    <w:rsid w:val="003E2D47"/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3E2D47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E2D4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3E2D47"/>
    <w:pPr>
      <w:widowControl w:val="0"/>
      <w:suppressAutoHyphens w:val="0"/>
      <w:autoSpaceDE/>
      <w:spacing w:after="40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E2D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D4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2024-10-18T09:54:00Z</dcterms:created>
  <dcterms:modified xsi:type="dcterms:W3CDTF">2024-10-18T09:54:00Z</dcterms:modified>
</cp:coreProperties>
</file>