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C0" w:rsidRPr="001B66FB" w:rsidRDefault="002148C0" w:rsidP="002148C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48C0" w:rsidRPr="009C2F49" w:rsidRDefault="002148C0" w:rsidP="002148C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148C0" w:rsidRPr="001B66FB" w:rsidRDefault="002148C0" w:rsidP="002148C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148C0" w:rsidRPr="001B66FB" w:rsidRDefault="002148C0" w:rsidP="002148C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48C0" w:rsidRPr="00CD500E" w:rsidRDefault="002148C0" w:rsidP="002148C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148C0" w:rsidRPr="00C86431" w:rsidRDefault="002148C0" w:rsidP="002148C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1098</w:t>
      </w:r>
    </w:p>
    <w:p w:rsidR="002148C0" w:rsidRPr="002C336D" w:rsidRDefault="002148C0" w:rsidP="002148C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148C0" w:rsidRPr="00D974CA" w:rsidTr="000C0116">
        <w:tc>
          <w:tcPr>
            <w:tcW w:w="5070" w:type="dxa"/>
          </w:tcPr>
          <w:p w:rsidR="002148C0" w:rsidRPr="0093168A" w:rsidRDefault="002148C0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74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мобілізаційної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оборонної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Вербській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сільській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2021-2023 роки</w:t>
            </w:r>
          </w:p>
        </w:tc>
      </w:tr>
    </w:tbl>
    <w:p w:rsidR="002148C0" w:rsidRPr="0093168A" w:rsidRDefault="002148C0" w:rsidP="002148C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148C0" w:rsidRDefault="002148C0" w:rsidP="002148C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17 3акону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мобілізаційну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мобілізацію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14 3акону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оборону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36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територіальну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Указом Президента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2016 року № 406/2016,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року № 780 «Про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Рівненській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2021-2023 роки»,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</w:t>
      </w:r>
    </w:p>
    <w:p w:rsidR="002148C0" w:rsidRPr="003A7834" w:rsidRDefault="002148C0" w:rsidP="002148C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8C0" w:rsidRPr="005B674B" w:rsidRDefault="002148C0" w:rsidP="002148C0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2148C0" w:rsidRDefault="002148C0" w:rsidP="002148C0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зміни у Програму забезпечення мобілізаційної підготовки та оборонної роботи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сільській раді на 2021-2023 роки, затверджену рішенням третьої сесії 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№ 72 від 23.12.2020 року,  зі змінами, внесеними рішеннями двадцять п’ятої  сесії  VIIІ скликання від 14.07.2022 року № 858, тридцять третьою сесією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10.02.2023 року № 954, а саме:</w:t>
      </w:r>
    </w:p>
    <w:p w:rsidR="002148C0" w:rsidRDefault="002148C0" w:rsidP="002148C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2021-2023роки»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2); </w:t>
      </w:r>
    </w:p>
    <w:p w:rsidR="002148C0" w:rsidRDefault="002148C0" w:rsidP="002148C0">
      <w:pPr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«Паспорт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3).</w:t>
      </w:r>
    </w:p>
    <w:p w:rsidR="002148C0" w:rsidRPr="00522D08" w:rsidRDefault="002148C0" w:rsidP="002148C0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textAlignment w:val="baseline"/>
        <w:rPr>
          <w:sz w:val="28"/>
          <w:szCs w:val="28"/>
        </w:rPr>
      </w:pPr>
      <w:r w:rsidRPr="00522D08">
        <w:rPr>
          <w:sz w:val="28"/>
          <w:szCs w:val="28"/>
        </w:rPr>
        <w:lastRenderedPageBreak/>
        <w:t>Контроль за виконанням цього рішення покласти на постійну комісію з</w:t>
      </w:r>
      <w:r>
        <w:rPr>
          <w:sz w:val="28"/>
          <w:szCs w:val="28"/>
        </w:rPr>
        <w:t xml:space="preserve"> </w:t>
      </w:r>
      <w:r w:rsidRPr="00522D08">
        <w:rPr>
          <w:sz w:val="28"/>
          <w:szCs w:val="28"/>
        </w:rPr>
        <w:t>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2148C0" w:rsidRDefault="002148C0" w:rsidP="002148C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8C0" w:rsidRDefault="002148C0" w:rsidP="002148C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8C0" w:rsidRPr="005B674B" w:rsidRDefault="002148C0" w:rsidP="002148C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8C0" w:rsidRDefault="002148C0" w:rsidP="002148C0">
      <w:pPr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  <w:lang w:val="uk-UA"/>
        </w:rPr>
        <w:br w:type="page"/>
      </w:r>
    </w:p>
    <w:p w:rsidR="002148C0" w:rsidRDefault="002148C0" w:rsidP="002148C0">
      <w:pPr>
        <w:pStyle w:val="a3"/>
        <w:ind w:firstLine="426"/>
        <w:jc w:val="right"/>
        <w:rPr>
          <w:rFonts w:ascii="Times New Roman" w:hAnsi="Times New Roman"/>
          <w:sz w:val="24"/>
          <w:szCs w:val="24"/>
        </w:rPr>
        <w:sectPr w:rsidR="002148C0" w:rsidSect="00363E94">
          <w:pgSz w:w="11906" w:h="16838"/>
          <w:pgMar w:top="1134" w:right="851" w:bottom="851" w:left="1701" w:header="709" w:footer="709" w:gutter="0"/>
          <w:cols w:space="720"/>
        </w:sectPr>
      </w:pPr>
    </w:p>
    <w:p w:rsidR="002148C0" w:rsidRPr="00522D08" w:rsidRDefault="002148C0" w:rsidP="002148C0">
      <w:pPr>
        <w:pStyle w:val="a3"/>
        <w:ind w:firstLine="9639"/>
        <w:rPr>
          <w:rFonts w:ascii="Times New Roman" w:hAnsi="Times New Roman"/>
          <w:sz w:val="28"/>
          <w:szCs w:val="28"/>
        </w:rPr>
      </w:pPr>
      <w:proofErr w:type="spellStart"/>
      <w:r w:rsidRPr="00522D08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2 </w:t>
      </w:r>
    </w:p>
    <w:p w:rsidR="002148C0" w:rsidRPr="00522D08" w:rsidRDefault="002148C0" w:rsidP="002148C0">
      <w:pPr>
        <w:pStyle w:val="a3"/>
        <w:ind w:firstLine="9639"/>
        <w:rPr>
          <w:rFonts w:ascii="Times New Roman" w:hAnsi="Times New Roman"/>
          <w:sz w:val="28"/>
          <w:szCs w:val="28"/>
        </w:rPr>
      </w:pPr>
      <w:r w:rsidRPr="00522D08"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522D08">
        <w:rPr>
          <w:rFonts w:ascii="Times New Roman" w:hAnsi="Times New Roman"/>
          <w:sz w:val="28"/>
          <w:szCs w:val="28"/>
        </w:rPr>
        <w:t>р</w:t>
      </w:r>
      <w:proofErr w:type="gramEnd"/>
      <w:r w:rsidRPr="00522D08">
        <w:rPr>
          <w:rFonts w:ascii="Times New Roman" w:hAnsi="Times New Roman"/>
          <w:sz w:val="28"/>
          <w:szCs w:val="28"/>
        </w:rPr>
        <w:t>ішення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ради </w:t>
      </w:r>
    </w:p>
    <w:p w:rsidR="002148C0" w:rsidRPr="00522D08" w:rsidRDefault="002148C0" w:rsidP="002148C0">
      <w:pPr>
        <w:pStyle w:val="a3"/>
        <w:ind w:firstLine="9639"/>
        <w:rPr>
          <w:rFonts w:ascii="Times New Roman" w:hAnsi="Times New Roman"/>
          <w:sz w:val="28"/>
          <w:szCs w:val="28"/>
        </w:rPr>
      </w:pPr>
      <w:proofErr w:type="spellStart"/>
      <w:r w:rsidRPr="00522D08">
        <w:rPr>
          <w:rFonts w:ascii="Times New Roman" w:hAnsi="Times New Roman"/>
          <w:sz w:val="28"/>
          <w:szCs w:val="28"/>
        </w:rPr>
        <w:t>від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21 листопада 2023 року № 1098</w:t>
      </w:r>
    </w:p>
    <w:p w:rsidR="002148C0" w:rsidRPr="00522D08" w:rsidRDefault="002148C0" w:rsidP="002148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22D08">
        <w:rPr>
          <w:rFonts w:ascii="Times New Roman" w:hAnsi="Times New Roman"/>
          <w:b/>
          <w:sz w:val="28"/>
          <w:szCs w:val="28"/>
        </w:rPr>
        <w:t>ЗАВДАННЯ І ЗАХОДИ</w:t>
      </w:r>
    </w:p>
    <w:p w:rsidR="002148C0" w:rsidRPr="00522D08" w:rsidRDefault="002148C0" w:rsidP="002148C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22D08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мобілізаційної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22D0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22D08">
        <w:rPr>
          <w:rFonts w:ascii="Times New Roman" w:hAnsi="Times New Roman"/>
          <w:b/>
          <w:sz w:val="28"/>
          <w:szCs w:val="28"/>
        </w:rPr>
        <w:t>ідготовки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оборонної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2148C0" w:rsidRPr="00522D08" w:rsidRDefault="002148C0" w:rsidP="002148C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22D08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Вербській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сільській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раді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на 2021 - 2023 роки</w:t>
      </w: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15390" w:type="dxa"/>
        <w:tblInd w:w="-252" w:type="dxa"/>
        <w:tblLayout w:type="fixed"/>
        <w:tblLook w:val="04A0"/>
      </w:tblPr>
      <w:tblGrid>
        <w:gridCol w:w="560"/>
        <w:gridCol w:w="6997"/>
        <w:gridCol w:w="1134"/>
        <w:gridCol w:w="43"/>
        <w:gridCol w:w="1126"/>
        <w:gridCol w:w="1276"/>
        <w:gridCol w:w="1985"/>
        <w:gridCol w:w="43"/>
        <w:gridCol w:w="2226"/>
      </w:tblGrid>
      <w:tr w:rsidR="002148C0" w:rsidRPr="00522D08" w:rsidTr="000C0116">
        <w:trPr>
          <w:trHeight w:val="793"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витрат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, тис</w:t>
            </w:r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ривень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Джерело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Виконавець</w:t>
            </w:r>
            <w:proofErr w:type="spellEnd"/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заходу</w:t>
            </w:r>
          </w:p>
        </w:tc>
      </w:tr>
      <w:tr w:rsidR="002148C0" w:rsidRPr="00522D08" w:rsidTr="000C0116">
        <w:trPr>
          <w:trHeight w:val="7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rPr>
                <w:sz w:val="28"/>
                <w:szCs w:val="28"/>
                <w:lang w:eastAsia="en-US"/>
              </w:rPr>
            </w:pPr>
          </w:p>
        </w:tc>
      </w:tr>
      <w:tr w:rsidR="002148C0" w:rsidRPr="00522D08" w:rsidTr="000C0116">
        <w:trPr>
          <w:trHeight w:val="329"/>
        </w:trPr>
        <w:tc>
          <w:tcPr>
            <w:tcW w:w="15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  <w:proofErr w:type="spellEnd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 xml:space="preserve"> І. </w:t>
            </w:r>
            <w:proofErr w:type="spellStart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>Мобілізаційна</w:t>
            </w:r>
            <w:proofErr w:type="spellEnd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>готовність</w:t>
            </w:r>
            <w:proofErr w:type="spellEnd"/>
          </w:p>
        </w:tc>
      </w:tr>
      <w:tr w:rsidR="002148C0" w:rsidRPr="00522D08" w:rsidTr="000C0116">
        <w:trPr>
          <w:trHeight w:val="13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пально-мастильних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оплата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транспортних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перевірки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функціонування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обліку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бронювання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військовозобов’язаних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воєнний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час в органах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влади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органах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підприємствах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установах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організаціях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закладах;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доставки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резерві</w:t>
            </w:r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lastRenderedPageBreak/>
              <w:t>військовозобов’язаних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збору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військово-організаційних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структур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формувань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збори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доставки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офіцерів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запасу,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яких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призивають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службу за призовом,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офіцерського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складу до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центрів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курси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для доставки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мобілізаційних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людських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транспортних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) до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збору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військово-організаційних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структур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формувань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доставки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призовників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призовів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строкову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службу, в тому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пально-мастильних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оплата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транспортних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для доставки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мобілізованих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призваних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збори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людських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обласного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збірного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пункту та 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198 000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Вербська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рада,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івненський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обласний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</w:p>
        </w:tc>
      </w:tr>
      <w:tr w:rsidR="002148C0" w:rsidRPr="00522D08" w:rsidTr="000C0116">
        <w:trPr>
          <w:trHeight w:val="14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Впровадження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функціонування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сучасних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військового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комп’ютерної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ліцензійним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програмним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забезпеченням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оргтехніки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витратних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заправки,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</w:p>
        </w:tc>
      </w:tr>
      <w:tr w:rsidR="002148C0" w:rsidRPr="00522D08" w:rsidTr="000C0116">
        <w:trPr>
          <w:trHeight w:val="14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Дообладнання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ремонту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  Дубенського районного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</w:p>
        </w:tc>
      </w:tr>
      <w:tr w:rsidR="002148C0" w:rsidRPr="00522D08" w:rsidTr="000C0116">
        <w:trPr>
          <w:trHeight w:val="1075"/>
        </w:trPr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 xml:space="preserve">Разом за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завданням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198 000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D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</w:p>
        </w:tc>
      </w:tr>
      <w:tr w:rsidR="002148C0" w:rsidRPr="00522D08" w:rsidTr="000C0116">
        <w:trPr>
          <w:trHeight w:val="242"/>
        </w:trPr>
        <w:tc>
          <w:tcPr>
            <w:tcW w:w="7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Всього</w:t>
            </w:r>
            <w:proofErr w:type="spellEnd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>Програмою</w:t>
            </w:r>
            <w:proofErr w:type="spellEnd"/>
            <w:r w:rsidRPr="00522D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color w:val="000000"/>
                <w:sz w:val="28"/>
                <w:szCs w:val="28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color w:val="000000"/>
                <w:sz w:val="28"/>
                <w:szCs w:val="28"/>
              </w:rPr>
              <w:t>198 000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2148C0" w:rsidRPr="00522D08" w:rsidRDefault="002148C0" w:rsidP="002148C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2D08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голова</w:t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8C0" w:rsidRPr="00522D08" w:rsidRDefault="002148C0" w:rsidP="002148C0">
      <w:pPr>
        <w:rPr>
          <w:sz w:val="28"/>
          <w:szCs w:val="28"/>
        </w:rPr>
        <w:sectPr w:rsidR="002148C0" w:rsidRPr="00522D08" w:rsidSect="00363E94">
          <w:pgSz w:w="16838" w:h="11906" w:orient="landscape"/>
          <w:pgMar w:top="851" w:right="851" w:bottom="1701" w:left="1134" w:header="709" w:footer="709" w:gutter="0"/>
          <w:cols w:space="720"/>
        </w:sectPr>
      </w:pPr>
    </w:p>
    <w:p w:rsidR="002148C0" w:rsidRPr="00522D08" w:rsidRDefault="002148C0" w:rsidP="002148C0">
      <w:pPr>
        <w:pStyle w:val="a3"/>
        <w:ind w:firstLine="4536"/>
        <w:rPr>
          <w:rFonts w:ascii="Times New Roman" w:hAnsi="Times New Roman"/>
          <w:sz w:val="28"/>
          <w:szCs w:val="28"/>
        </w:rPr>
      </w:pPr>
      <w:proofErr w:type="spellStart"/>
      <w:r w:rsidRPr="00522D08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3 </w:t>
      </w:r>
    </w:p>
    <w:p w:rsidR="002148C0" w:rsidRPr="00850A46" w:rsidRDefault="002148C0" w:rsidP="002148C0">
      <w:pPr>
        <w:pStyle w:val="a3"/>
        <w:ind w:firstLine="4536"/>
        <w:rPr>
          <w:rFonts w:ascii="Times New Roman" w:hAnsi="Times New Roman"/>
          <w:sz w:val="28"/>
          <w:szCs w:val="28"/>
          <w:lang w:val="uk-UA"/>
        </w:rPr>
      </w:pPr>
      <w:r w:rsidRPr="00522D08"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522D08">
        <w:rPr>
          <w:rFonts w:ascii="Times New Roman" w:hAnsi="Times New Roman"/>
          <w:sz w:val="28"/>
          <w:szCs w:val="28"/>
        </w:rPr>
        <w:t>р</w:t>
      </w:r>
      <w:proofErr w:type="gramEnd"/>
      <w:r w:rsidRPr="00522D08">
        <w:rPr>
          <w:rFonts w:ascii="Times New Roman" w:hAnsi="Times New Roman"/>
          <w:sz w:val="28"/>
          <w:szCs w:val="28"/>
        </w:rPr>
        <w:t>ішення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2148C0" w:rsidRPr="00522D08" w:rsidRDefault="002148C0" w:rsidP="002148C0">
      <w:pPr>
        <w:pStyle w:val="a3"/>
        <w:ind w:firstLine="4536"/>
        <w:rPr>
          <w:rFonts w:ascii="Times New Roman" w:hAnsi="Times New Roman"/>
          <w:sz w:val="28"/>
          <w:szCs w:val="28"/>
        </w:rPr>
      </w:pPr>
      <w:r w:rsidRPr="00522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sz w:val="28"/>
          <w:szCs w:val="28"/>
        </w:rPr>
        <w:t>від</w:t>
      </w:r>
      <w:proofErr w:type="spellEnd"/>
      <w:r w:rsidRPr="00522D08">
        <w:rPr>
          <w:rFonts w:ascii="Times New Roman" w:hAnsi="Times New Roman"/>
          <w:sz w:val="28"/>
          <w:szCs w:val="28"/>
        </w:rPr>
        <w:t xml:space="preserve"> 21 листопада  2023 року № 1098</w:t>
      </w: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148C0" w:rsidRPr="00522D08" w:rsidRDefault="002148C0" w:rsidP="002148C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22D08">
        <w:rPr>
          <w:rFonts w:ascii="Times New Roman" w:hAnsi="Times New Roman"/>
          <w:b/>
          <w:sz w:val="28"/>
          <w:szCs w:val="28"/>
          <w:lang w:eastAsia="uk-UA"/>
        </w:rPr>
        <w:t>ПАСПОРТ</w:t>
      </w:r>
    </w:p>
    <w:p w:rsidR="002148C0" w:rsidRPr="00522D08" w:rsidRDefault="002148C0" w:rsidP="002148C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22D08">
        <w:rPr>
          <w:rFonts w:ascii="Times New Roman" w:hAnsi="Times New Roman"/>
          <w:b/>
          <w:sz w:val="28"/>
          <w:szCs w:val="28"/>
          <w:lang w:eastAsia="uk-UA"/>
        </w:rPr>
        <w:t>Програми</w:t>
      </w:r>
      <w:proofErr w:type="spellEnd"/>
      <w:r w:rsidRPr="00522D0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мобілізаційної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22D0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22D08">
        <w:rPr>
          <w:rFonts w:ascii="Times New Roman" w:hAnsi="Times New Roman"/>
          <w:b/>
          <w:sz w:val="28"/>
          <w:szCs w:val="28"/>
        </w:rPr>
        <w:t>ідготовки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оборонної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 в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Дубенському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районі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на 2021 - 2023 роки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327"/>
        <w:gridCol w:w="4189"/>
      </w:tblGrid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Дубенському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2021 – 2023 роки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Дата, номер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розпорядчого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документа органу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влади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23 грудня2020 № 72 «Про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Веррбській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сільській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на 2021 – 2023 роки»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Ініціатор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522D08">
              <w:rPr>
                <w:rFonts w:ascii="Times New Roman" w:hAnsi="Times New Roman"/>
                <w:sz w:val="28"/>
                <w:szCs w:val="28"/>
              </w:rPr>
              <w:t>Вербська</w:t>
            </w: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Головний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розпорядник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кошті</w:t>
            </w:r>
            <w:proofErr w:type="gram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Вербська</w:t>
            </w: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Відповідальні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виконавці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підтримки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522D08">
              <w:rPr>
                <w:rFonts w:ascii="Times New Roman" w:hAnsi="Times New Roman"/>
                <w:sz w:val="28"/>
                <w:szCs w:val="28"/>
              </w:rPr>
              <w:t>Вербська</w:t>
            </w: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Учасники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</w:rPr>
              <w:t>івненський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обласний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Дубенський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районний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територіальний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комплектування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</w:rPr>
              <w:lastRenderedPageBreak/>
              <w:t>підтримки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</w:rPr>
              <w:t>, Вербська</w:t>
            </w: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сільська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2021– 2023 роки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Джерела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Загальний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обсяг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ресурсів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необхідних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для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278 000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з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них: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2021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ік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2022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ік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2148C0" w:rsidRPr="00522D08" w:rsidTr="000C011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2023 </w:t>
            </w:r>
            <w:proofErr w:type="spellStart"/>
            <w:proofErr w:type="gramStart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>ік</w:t>
            </w:r>
            <w:proofErr w:type="spellEnd"/>
            <w:r w:rsidRPr="00522D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C0" w:rsidRPr="00522D08" w:rsidRDefault="002148C0" w:rsidP="000C0116">
            <w:pPr>
              <w:pStyle w:val="a3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D08">
              <w:rPr>
                <w:rFonts w:ascii="Times New Roman" w:hAnsi="Times New Roman"/>
                <w:sz w:val="28"/>
                <w:szCs w:val="28"/>
              </w:rPr>
              <w:t>198 000</w:t>
            </w:r>
          </w:p>
        </w:tc>
      </w:tr>
    </w:tbl>
    <w:p w:rsidR="002148C0" w:rsidRPr="00522D08" w:rsidRDefault="002148C0" w:rsidP="002148C0">
      <w:pPr>
        <w:pStyle w:val="a3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148C0" w:rsidRPr="00522D08" w:rsidRDefault="002148C0" w:rsidP="002148C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2D08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голова</w:t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r w:rsidRPr="00522D0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22D08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522D08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148C0" w:rsidRDefault="002148C0" w:rsidP="002148C0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C0"/>
    <w:rsid w:val="00135B15"/>
    <w:rsid w:val="00197256"/>
    <w:rsid w:val="002148C0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4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148C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148C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148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8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2024-10-18T09:56:00Z</dcterms:created>
  <dcterms:modified xsi:type="dcterms:W3CDTF">2024-10-18T09:56:00Z</dcterms:modified>
</cp:coreProperties>
</file>