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FD" w:rsidRPr="001B66FB" w:rsidRDefault="00A537FD" w:rsidP="00A537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537FD" w:rsidRPr="009C2F49" w:rsidRDefault="00A537FD" w:rsidP="00A537F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A537FD" w:rsidRPr="001B66FB" w:rsidRDefault="00A537FD" w:rsidP="00A537FD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A537FD" w:rsidRPr="001B66FB" w:rsidRDefault="00A537FD" w:rsidP="00A537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A537FD" w:rsidRPr="00CD500E" w:rsidRDefault="00A537FD" w:rsidP="00A537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A537FD" w:rsidRPr="00C86431" w:rsidRDefault="00A537FD" w:rsidP="00A537FD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листопада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1099</w:t>
      </w:r>
    </w:p>
    <w:p w:rsidR="00A537FD" w:rsidRPr="002C336D" w:rsidRDefault="00A537FD" w:rsidP="00A537FD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A537FD" w:rsidRPr="00D974CA" w:rsidTr="000C0116">
        <w:tc>
          <w:tcPr>
            <w:tcW w:w="5070" w:type="dxa"/>
          </w:tcPr>
          <w:p w:rsidR="00A537FD" w:rsidRPr="00104F91" w:rsidRDefault="00A537FD" w:rsidP="000C011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4F9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несення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змін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підтримки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Збройних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сил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2023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A537FD" w:rsidRPr="0093168A" w:rsidRDefault="00A537FD" w:rsidP="00A537F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168A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A537FD" w:rsidRPr="00CB5E1C" w:rsidRDefault="00A537FD" w:rsidP="00A537FD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B5E1C">
        <w:rPr>
          <w:rFonts w:ascii="Times New Roman" w:hAnsi="Times New Roman"/>
          <w:sz w:val="28"/>
          <w:szCs w:val="28"/>
          <w:lang w:val="uk-UA"/>
        </w:rPr>
        <w:t>Керуючись ст. 26 Закону України «Про місцеве самоврядування в Україні», Бюджетним кодексом України, відповідно до Указу Президента 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та Указом Президента України від 24 лютого 2022 № 64/2022 «Про введення воєнного стану в Україні», враховуючи рекомендації постійних комісій, сільська рада</w:t>
      </w:r>
    </w:p>
    <w:p w:rsidR="00A537FD" w:rsidRPr="005B674B" w:rsidRDefault="00A537FD" w:rsidP="00A537FD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A537FD" w:rsidRPr="00CB5E1C" w:rsidRDefault="00A537FD" w:rsidP="00A537FD">
      <w:pPr>
        <w:pStyle w:val="a5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6"/>
        </w:rPr>
      </w:pPr>
      <w:r w:rsidRPr="00CB5E1C">
        <w:rPr>
          <w:sz w:val="28"/>
          <w:szCs w:val="28"/>
        </w:rPr>
        <w:t>Внести зміни до Програми підтримки Збройних сил України на 2023</w:t>
      </w:r>
      <w:r>
        <w:rPr>
          <w:sz w:val="28"/>
          <w:szCs w:val="28"/>
        </w:rPr>
        <w:t xml:space="preserve"> </w:t>
      </w:r>
      <w:r w:rsidRPr="00CB5E1C">
        <w:rPr>
          <w:sz w:val="28"/>
          <w:szCs w:val="28"/>
        </w:rPr>
        <w:t xml:space="preserve">рік, затвердженої рішенням тридцять третьої сесії </w:t>
      </w:r>
      <w:r w:rsidRPr="00CB5E1C">
        <w:rPr>
          <w:sz w:val="28"/>
          <w:szCs w:val="28"/>
          <w:lang w:val="en-US"/>
        </w:rPr>
        <w:t>VIII</w:t>
      </w:r>
      <w:r w:rsidRPr="00CB5E1C">
        <w:rPr>
          <w:sz w:val="28"/>
          <w:szCs w:val="28"/>
        </w:rPr>
        <w:t xml:space="preserve"> скликання </w:t>
      </w:r>
      <w:proofErr w:type="spellStart"/>
      <w:r w:rsidRPr="00CB5E1C">
        <w:rPr>
          <w:sz w:val="28"/>
          <w:szCs w:val="28"/>
        </w:rPr>
        <w:t>Вербської</w:t>
      </w:r>
      <w:proofErr w:type="spellEnd"/>
      <w:r w:rsidRPr="00CB5E1C">
        <w:rPr>
          <w:sz w:val="28"/>
          <w:szCs w:val="28"/>
        </w:rPr>
        <w:t xml:space="preserve"> сільської ради від 10.02. 2023 року № 957 «Про програму підтримки Збройних сил України на 2023 рік»</w:t>
      </w:r>
      <w:r w:rsidRPr="00CB5E1C">
        <w:rPr>
          <w:sz w:val="28"/>
          <w:szCs w:val="26"/>
        </w:rPr>
        <w:t>, зі змінами, затвердженими рішеннями тридцять шостої сесії</w:t>
      </w:r>
      <w:r w:rsidRPr="00CB5E1C">
        <w:rPr>
          <w:sz w:val="28"/>
          <w:szCs w:val="28"/>
        </w:rPr>
        <w:t xml:space="preserve"> </w:t>
      </w:r>
      <w:r w:rsidRPr="00CB5E1C">
        <w:rPr>
          <w:sz w:val="28"/>
          <w:szCs w:val="28"/>
          <w:lang w:val="en-US"/>
        </w:rPr>
        <w:t>VIII</w:t>
      </w:r>
      <w:r w:rsidRPr="00CB5E1C">
        <w:rPr>
          <w:sz w:val="28"/>
          <w:szCs w:val="28"/>
        </w:rPr>
        <w:t xml:space="preserve"> скликання </w:t>
      </w:r>
      <w:proofErr w:type="spellStart"/>
      <w:r w:rsidRPr="00CB5E1C">
        <w:rPr>
          <w:sz w:val="28"/>
          <w:szCs w:val="28"/>
        </w:rPr>
        <w:t>Вербської</w:t>
      </w:r>
      <w:proofErr w:type="spellEnd"/>
      <w:r w:rsidRPr="00CB5E1C">
        <w:rPr>
          <w:sz w:val="28"/>
          <w:szCs w:val="28"/>
        </w:rPr>
        <w:t xml:space="preserve"> сільської ради</w:t>
      </w:r>
      <w:r w:rsidRPr="00CB5E1C">
        <w:rPr>
          <w:sz w:val="28"/>
          <w:szCs w:val="26"/>
        </w:rPr>
        <w:t xml:space="preserve"> </w:t>
      </w:r>
      <w:r w:rsidRPr="00CB5E1C">
        <w:rPr>
          <w:sz w:val="28"/>
          <w:szCs w:val="28"/>
        </w:rPr>
        <w:t>від 09.05.2023 року № 1004</w:t>
      </w:r>
      <w:r w:rsidRPr="00CB5E1C">
        <w:rPr>
          <w:sz w:val="28"/>
          <w:szCs w:val="26"/>
        </w:rPr>
        <w:t xml:space="preserve">, тридцять восьмою сесією </w:t>
      </w:r>
      <w:r w:rsidRPr="00CB5E1C">
        <w:rPr>
          <w:sz w:val="28"/>
          <w:szCs w:val="28"/>
          <w:lang w:val="en-US"/>
        </w:rPr>
        <w:t>VIII</w:t>
      </w:r>
      <w:r w:rsidRPr="00CB5E1C">
        <w:rPr>
          <w:sz w:val="28"/>
          <w:szCs w:val="28"/>
        </w:rPr>
        <w:t xml:space="preserve"> скликання </w:t>
      </w:r>
      <w:proofErr w:type="spellStart"/>
      <w:r w:rsidRPr="00CB5E1C">
        <w:rPr>
          <w:sz w:val="28"/>
          <w:szCs w:val="28"/>
        </w:rPr>
        <w:t>Вербської</w:t>
      </w:r>
      <w:proofErr w:type="spellEnd"/>
      <w:r w:rsidRPr="00CB5E1C">
        <w:rPr>
          <w:sz w:val="28"/>
          <w:szCs w:val="28"/>
        </w:rPr>
        <w:t xml:space="preserve"> сільської ради</w:t>
      </w:r>
      <w:r w:rsidRPr="00CB5E1C">
        <w:rPr>
          <w:sz w:val="28"/>
          <w:szCs w:val="26"/>
        </w:rPr>
        <w:t xml:space="preserve"> </w:t>
      </w:r>
      <w:r w:rsidRPr="00CB5E1C">
        <w:rPr>
          <w:sz w:val="28"/>
          <w:szCs w:val="28"/>
        </w:rPr>
        <w:t>від 07.07.2023 року №1038</w:t>
      </w:r>
      <w:r w:rsidRPr="00CB5E1C">
        <w:rPr>
          <w:sz w:val="28"/>
          <w:szCs w:val="26"/>
        </w:rPr>
        <w:t xml:space="preserve">, тридцять дев’ятою сесією </w:t>
      </w:r>
      <w:r w:rsidRPr="00CB5E1C">
        <w:rPr>
          <w:sz w:val="28"/>
          <w:szCs w:val="28"/>
          <w:lang w:val="en-US"/>
        </w:rPr>
        <w:t>VIII</w:t>
      </w:r>
      <w:r w:rsidRPr="00CB5E1C">
        <w:rPr>
          <w:sz w:val="28"/>
          <w:szCs w:val="28"/>
        </w:rPr>
        <w:t xml:space="preserve"> скликання </w:t>
      </w:r>
      <w:proofErr w:type="spellStart"/>
      <w:r w:rsidRPr="00CB5E1C">
        <w:rPr>
          <w:sz w:val="28"/>
          <w:szCs w:val="28"/>
        </w:rPr>
        <w:t>Вербської</w:t>
      </w:r>
      <w:proofErr w:type="spellEnd"/>
      <w:r w:rsidRPr="00CB5E1C">
        <w:rPr>
          <w:sz w:val="28"/>
          <w:szCs w:val="28"/>
        </w:rPr>
        <w:t xml:space="preserve"> сільської ради</w:t>
      </w:r>
      <w:r w:rsidRPr="00CB5E1C">
        <w:rPr>
          <w:sz w:val="28"/>
          <w:szCs w:val="26"/>
        </w:rPr>
        <w:t xml:space="preserve"> </w:t>
      </w:r>
      <w:r w:rsidRPr="00CB5E1C">
        <w:rPr>
          <w:sz w:val="28"/>
          <w:szCs w:val="28"/>
        </w:rPr>
        <w:t>від 04.08.2023 року № 1051</w:t>
      </w:r>
      <w:r w:rsidRPr="00CB5E1C">
        <w:rPr>
          <w:sz w:val="28"/>
          <w:szCs w:val="26"/>
        </w:rPr>
        <w:t xml:space="preserve">, сороковою сесією </w:t>
      </w:r>
      <w:r w:rsidRPr="00CB5E1C">
        <w:rPr>
          <w:sz w:val="28"/>
          <w:szCs w:val="28"/>
          <w:lang w:val="en-US"/>
        </w:rPr>
        <w:t>VIII</w:t>
      </w:r>
      <w:r w:rsidRPr="00CB5E1C">
        <w:rPr>
          <w:sz w:val="28"/>
          <w:szCs w:val="28"/>
        </w:rPr>
        <w:t xml:space="preserve"> скликання </w:t>
      </w:r>
      <w:proofErr w:type="spellStart"/>
      <w:r w:rsidRPr="00CB5E1C">
        <w:rPr>
          <w:sz w:val="28"/>
          <w:szCs w:val="28"/>
        </w:rPr>
        <w:t>Вербської</w:t>
      </w:r>
      <w:proofErr w:type="spellEnd"/>
      <w:r w:rsidRPr="00CB5E1C">
        <w:rPr>
          <w:sz w:val="28"/>
          <w:szCs w:val="28"/>
        </w:rPr>
        <w:t xml:space="preserve"> сільської ради</w:t>
      </w:r>
      <w:r w:rsidRPr="00CB5E1C">
        <w:rPr>
          <w:sz w:val="28"/>
          <w:szCs w:val="26"/>
        </w:rPr>
        <w:t xml:space="preserve"> </w:t>
      </w:r>
      <w:r w:rsidRPr="00CB5E1C">
        <w:rPr>
          <w:sz w:val="28"/>
          <w:szCs w:val="28"/>
        </w:rPr>
        <w:t>від 05.09.2023 року № 1056,</w:t>
      </w:r>
      <w:r w:rsidRPr="00CB5E1C">
        <w:rPr>
          <w:sz w:val="28"/>
          <w:szCs w:val="26"/>
        </w:rPr>
        <w:t xml:space="preserve"> а саме:</w:t>
      </w:r>
    </w:p>
    <w:p w:rsidR="00A537FD" w:rsidRDefault="00A537FD" w:rsidP="00A537FD">
      <w:pPr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>«</w:t>
      </w:r>
      <w:proofErr w:type="spellStart"/>
      <w:r>
        <w:rPr>
          <w:sz w:val="28"/>
          <w:szCs w:val="26"/>
        </w:rPr>
        <w:t>Фінансове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забезпечення</w:t>
      </w:r>
      <w:proofErr w:type="spellEnd"/>
      <w:r>
        <w:rPr>
          <w:sz w:val="28"/>
          <w:szCs w:val="26"/>
        </w:rPr>
        <w:t>».</w:t>
      </w:r>
    </w:p>
    <w:p w:rsidR="00A537FD" w:rsidRDefault="00A537FD" w:rsidP="00A537FD">
      <w:pPr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2. </w:t>
      </w:r>
      <w:proofErr w:type="spellStart"/>
      <w:r>
        <w:rPr>
          <w:sz w:val="28"/>
          <w:szCs w:val="26"/>
        </w:rPr>
        <w:t>Додаток</w:t>
      </w:r>
      <w:proofErr w:type="spellEnd"/>
      <w:r>
        <w:rPr>
          <w:sz w:val="28"/>
          <w:szCs w:val="26"/>
        </w:rPr>
        <w:t xml:space="preserve"> 1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«</w:t>
      </w:r>
      <w:proofErr w:type="spellStart"/>
      <w:r>
        <w:rPr>
          <w:sz w:val="28"/>
          <w:szCs w:val="26"/>
        </w:rPr>
        <w:t>Фінансове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забезпечення</w:t>
      </w:r>
      <w:proofErr w:type="spellEnd"/>
      <w:r>
        <w:rPr>
          <w:sz w:val="28"/>
          <w:szCs w:val="26"/>
        </w:rPr>
        <w:t xml:space="preserve">» </w:t>
      </w:r>
      <w:proofErr w:type="spellStart"/>
      <w:r>
        <w:rPr>
          <w:sz w:val="28"/>
          <w:szCs w:val="26"/>
        </w:rPr>
        <w:t>викласти</w:t>
      </w:r>
      <w:proofErr w:type="spellEnd"/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в</w:t>
      </w:r>
      <w:proofErr w:type="gram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новій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редакції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що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додається</w:t>
      </w:r>
      <w:proofErr w:type="spellEnd"/>
      <w:r>
        <w:rPr>
          <w:sz w:val="28"/>
          <w:szCs w:val="26"/>
        </w:rPr>
        <w:t xml:space="preserve">. </w:t>
      </w:r>
    </w:p>
    <w:p w:rsidR="00A537FD" w:rsidRDefault="00A537FD" w:rsidP="00A537F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pacing w:val="-2"/>
          <w:sz w:val="28"/>
          <w:szCs w:val="28"/>
        </w:rPr>
        <w:t xml:space="preserve">Контроль за </w:t>
      </w:r>
      <w:proofErr w:type="spellStart"/>
      <w:r>
        <w:rPr>
          <w:spacing w:val="-2"/>
          <w:sz w:val="28"/>
          <w:szCs w:val="28"/>
        </w:rPr>
        <w:t>виконанням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spacing w:val="-2"/>
          <w:sz w:val="28"/>
          <w:szCs w:val="28"/>
        </w:rPr>
        <w:t>р</w:t>
      </w:r>
      <w:proofErr w:type="gramEnd"/>
      <w:r>
        <w:rPr>
          <w:spacing w:val="-2"/>
          <w:sz w:val="28"/>
          <w:szCs w:val="28"/>
        </w:rPr>
        <w:t>ішення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покласти</w:t>
      </w:r>
      <w:proofErr w:type="spellEnd"/>
      <w:r>
        <w:rPr>
          <w:spacing w:val="-2"/>
          <w:sz w:val="28"/>
          <w:szCs w:val="28"/>
        </w:rPr>
        <w:t xml:space="preserve"> на </w:t>
      </w:r>
      <w:proofErr w:type="spellStart"/>
      <w:r>
        <w:rPr>
          <w:spacing w:val="-2"/>
          <w:sz w:val="28"/>
          <w:szCs w:val="28"/>
        </w:rPr>
        <w:t>постійну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комісію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з</w:t>
      </w:r>
      <w:proofErr w:type="spellEnd"/>
      <w:r>
        <w:rPr>
          <w:spacing w:val="-2"/>
          <w:sz w:val="28"/>
          <w:szCs w:val="28"/>
        </w:rPr>
        <w:t xml:space="preserve">  </w:t>
      </w:r>
      <w:proofErr w:type="spellStart"/>
      <w:r>
        <w:rPr>
          <w:spacing w:val="-2"/>
          <w:sz w:val="28"/>
          <w:szCs w:val="28"/>
        </w:rPr>
        <w:t>питань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фінансів</w:t>
      </w:r>
      <w:proofErr w:type="spellEnd"/>
      <w:r>
        <w:rPr>
          <w:spacing w:val="-2"/>
          <w:sz w:val="28"/>
          <w:szCs w:val="28"/>
        </w:rPr>
        <w:t xml:space="preserve">, бюджету, </w:t>
      </w:r>
      <w:proofErr w:type="spellStart"/>
      <w:r>
        <w:rPr>
          <w:spacing w:val="-2"/>
          <w:sz w:val="28"/>
          <w:szCs w:val="28"/>
        </w:rPr>
        <w:t>планування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соціально-економічного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розвитку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інвестицій</w:t>
      </w:r>
      <w:proofErr w:type="spellEnd"/>
      <w:r>
        <w:rPr>
          <w:spacing w:val="-2"/>
          <w:sz w:val="28"/>
          <w:szCs w:val="28"/>
        </w:rPr>
        <w:t xml:space="preserve"> та </w:t>
      </w:r>
      <w:proofErr w:type="spellStart"/>
      <w:r>
        <w:rPr>
          <w:spacing w:val="-2"/>
          <w:sz w:val="28"/>
          <w:szCs w:val="28"/>
        </w:rPr>
        <w:t>міжнародного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. </w:t>
      </w:r>
    </w:p>
    <w:p w:rsidR="00A537FD" w:rsidRPr="00CB5E1C" w:rsidRDefault="00A537FD" w:rsidP="00A537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37FD" w:rsidRDefault="00A537FD" w:rsidP="00A537F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37FD" w:rsidRPr="00104F91" w:rsidRDefault="00A537FD" w:rsidP="00A537F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37FD" w:rsidRDefault="00A537FD" w:rsidP="00A537FD">
      <w:pPr>
        <w:pStyle w:val="a3"/>
        <w:jc w:val="center"/>
        <w:rPr>
          <w:b/>
          <w:sz w:val="28"/>
          <w:szCs w:val="28"/>
          <w:lang w:val="uk-UA"/>
        </w:rPr>
      </w:pPr>
      <w:proofErr w:type="spellStart"/>
      <w:r w:rsidRPr="0093168A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93168A">
        <w:rPr>
          <w:rFonts w:ascii="Times New Roman" w:hAnsi="Times New Roman"/>
          <w:b/>
          <w:sz w:val="28"/>
          <w:szCs w:val="28"/>
        </w:rPr>
        <w:t xml:space="preserve"> голова </w:t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  <w:lang w:val="uk-UA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r w:rsidRPr="0093168A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3168A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93168A">
        <w:rPr>
          <w:rFonts w:ascii="Times New Roman" w:hAnsi="Times New Roman"/>
          <w:b/>
          <w:sz w:val="28"/>
          <w:szCs w:val="28"/>
        </w:rPr>
        <w:t xml:space="preserve"> КОТВІНСЬКА </w:t>
      </w:r>
      <w:r>
        <w:rPr>
          <w:b/>
          <w:sz w:val="28"/>
          <w:szCs w:val="28"/>
          <w:lang w:val="uk-UA"/>
        </w:rPr>
        <w:br w:type="page"/>
      </w:r>
    </w:p>
    <w:p w:rsidR="00A537FD" w:rsidRDefault="00A537FD" w:rsidP="00A537FD">
      <w:pPr>
        <w:ind w:firstLine="5387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№1 </w:t>
      </w:r>
    </w:p>
    <w:p w:rsidR="00A537FD" w:rsidRDefault="00A537FD" w:rsidP="00A537FD">
      <w:pPr>
        <w:tabs>
          <w:tab w:val="left" w:pos="7500"/>
        </w:tabs>
        <w:ind w:firstLine="5387"/>
        <w:rPr>
          <w:b/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A537FD" w:rsidRDefault="00A537FD" w:rsidP="00A537FD">
      <w:pPr>
        <w:tabs>
          <w:tab w:val="left" w:pos="6000"/>
        </w:tabs>
        <w:ind w:firstLine="5387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 листопада 2023 року № 1099 </w:t>
      </w:r>
    </w:p>
    <w:p w:rsidR="00A537FD" w:rsidRDefault="00A537FD" w:rsidP="00A537FD">
      <w:pPr>
        <w:rPr>
          <w:sz w:val="28"/>
          <w:szCs w:val="28"/>
        </w:rPr>
      </w:pPr>
    </w:p>
    <w:p w:rsidR="00A537FD" w:rsidRDefault="00A537FD" w:rsidP="00A537FD">
      <w:pPr>
        <w:tabs>
          <w:tab w:val="left" w:pos="259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</w:p>
    <w:p w:rsidR="00A537FD" w:rsidRDefault="00A537FD" w:rsidP="00A537FD">
      <w:pPr>
        <w:tabs>
          <w:tab w:val="left" w:pos="2790"/>
        </w:tabs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</w:p>
    <w:p w:rsidR="00A537FD" w:rsidRDefault="00A537FD" w:rsidP="00A537FD">
      <w:pPr>
        <w:rPr>
          <w:sz w:val="28"/>
          <w:szCs w:val="28"/>
        </w:rPr>
      </w:pPr>
    </w:p>
    <w:p w:rsidR="00A537FD" w:rsidRDefault="00A537FD" w:rsidP="00A537FD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Внести  </w:t>
      </w:r>
      <w:proofErr w:type="spellStart"/>
      <w:r>
        <w:rPr>
          <w:i/>
          <w:sz w:val="28"/>
          <w:szCs w:val="28"/>
          <w:u w:val="single"/>
        </w:rPr>
        <w:t>зміни</w:t>
      </w:r>
      <w:proofErr w:type="spellEnd"/>
      <w:r>
        <w:rPr>
          <w:i/>
          <w:sz w:val="28"/>
          <w:szCs w:val="28"/>
          <w:u w:val="single"/>
        </w:rPr>
        <w:t xml:space="preserve">, а </w:t>
      </w:r>
      <w:proofErr w:type="spellStart"/>
      <w:r>
        <w:rPr>
          <w:i/>
          <w:sz w:val="28"/>
          <w:szCs w:val="28"/>
          <w:u w:val="single"/>
        </w:rPr>
        <w:t>саме</w:t>
      </w:r>
      <w:proofErr w:type="spellEnd"/>
      <w:r>
        <w:rPr>
          <w:i/>
          <w:sz w:val="28"/>
          <w:szCs w:val="28"/>
          <w:u w:val="single"/>
        </w:rPr>
        <w:t xml:space="preserve">: </w:t>
      </w:r>
    </w:p>
    <w:p w:rsidR="00A537FD" w:rsidRDefault="00A537FD" w:rsidP="00A537FD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«Фінансове забезпечення програми» викласти в новій редакції, а саме:</w:t>
      </w:r>
    </w:p>
    <w:p w:rsidR="00A537FD" w:rsidRDefault="00A537FD" w:rsidP="00A537FD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3 130 000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</w:p>
    <w:p w:rsidR="00A537FD" w:rsidRDefault="00A537FD" w:rsidP="00A537FD">
      <w:pPr>
        <w:ind w:left="360"/>
        <w:rPr>
          <w:sz w:val="28"/>
          <w:szCs w:val="28"/>
        </w:rPr>
      </w:pPr>
    </w:p>
    <w:p w:rsidR="00A537FD" w:rsidRDefault="00A537FD" w:rsidP="00A537FD">
      <w:pPr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Заходи </w:t>
      </w:r>
      <w:proofErr w:type="spellStart"/>
      <w:r>
        <w:rPr>
          <w:i/>
          <w:sz w:val="28"/>
          <w:szCs w:val="28"/>
        </w:rPr>
        <w:t>зі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змінами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які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фінансуються</w:t>
      </w:r>
      <w:proofErr w:type="spellEnd"/>
      <w:r>
        <w:rPr>
          <w:i/>
          <w:sz w:val="28"/>
          <w:szCs w:val="28"/>
        </w:rPr>
        <w:t xml:space="preserve"> Вербською </w:t>
      </w:r>
      <w:proofErr w:type="spellStart"/>
      <w:r>
        <w:rPr>
          <w:i/>
          <w:sz w:val="28"/>
          <w:szCs w:val="28"/>
        </w:rPr>
        <w:t>сільською</w:t>
      </w:r>
      <w:proofErr w:type="spellEnd"/>
      <w:r>
        <w:rPr>
          <w:i/>
          <w:sz w:val="28"/>
          <w:szCs w:val="28"/>
        </w:rPr>
        <w:t xml:space="preserve"> радою у 2023  </w:t>
      </w:r>
      <w:proofErr w:type="spellStart"/>
      <w:r>
        <w:rPr>
          <w:i/>
          <w:sz w:val="28"/>
          <w:szCs w:val="28"/>
        </w:rPr>
        <w:t>році</w:t>
      </w:r>
      <w:proofErr w:type="spellEnd"/>
      <w:r>
        <w:rPr>
          <w:i/>
          <w:sz w:val="28"/>
          <w:szCs w:val="28"/>
        </w:rPr>
        <w:t>.</w:t>
      </w:r>
    </w:p>
    <w:p w:rsidR="00A537FD" w:rsidRDefault="00A537FD" w:rsidP="00A537FD">
      <w:pPr>
        <w:widowControl w:val="0"/>
        <w:rPr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Y="199"/>
        <w:tblW w:w="0" w:type="auto"/>
        <w:tblLayout w:type="fixed"/>
        <w:tblLook w:val="04A0"/>
      </w:tblPr>
      <w:tblGrid>
        <w:gridCol w:w="480"/>
        <w:gridCol w:w="5157"/>
        <w:gridCol w:w="2409"/>
        <w:gridCol w:w="1664"/>
      </w:tblGrid>
      <w:tr w:rsidR="00A537FD" w:rsidTr="000C0116">
        <w:trPr>
          <w:trHeight w:val="365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7FD" w:rsidRDefault="00A537FD" w:rsidP="000C0116">
            <w:pPr>
              <w:spacing w:line="276" w:lineRule="auto"/>
              <w:ind w:right="-25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A537FD" w:rsidRDefault="00A537FD" w:rsidP="000C0116">
            <w:pPr>
              <w:spacing w:line="276" w:lineRule="auto"/>
              <w:ind w:right="-250"/>
              <w:rPr>
                <w:sz w:val="28"/>
                <w:szCs w:val="28"/>
                <w:lang w:val="uk-UA"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7FD" w:rsidRDefault="00A537FD" w:rsidP="000C0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Змі</w:t>
            </w:r>
            <w:proofErr w:type="gram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заходів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37FD" w:rsidRDefault="00A537FD" w:rsidP="000C0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Обсяги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фінансування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грн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7FD" w:rsidRDefault="00A537FD" w:rsidP="000C011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Відповідальний</w:t>
            </w:r>
            <w:proofErr w:type="spellEnd"/>
          </w:p>
        </w:tc>
      </w:tr>
      <w:tr w:rsidR="00A537FD" w:rsidTr="000C0116">
        <w:trPr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7FD" w:rsidRDefault="00A537FD" w:rsidP="00A537FD">
            <w:pPr>
              <w:widowControl w:val="0"/>
              <w:numPr>
                <w:ilvl w:val="0"/>
                <w:numId w:val="2"/>
              </w:numPr>
              <w:tabs>
                <w:tab w:val="left" w:pos="161"/>
              </w:tabs>
              <w:suppressAutoHyphens w:val="0"/>
              <w:autoSpaceDE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7FD" w:rsidRDefault="00A537FD" w:rsidP="000C0116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CC09CE">
              <w:rPr>
                <w:sz w:val="28"/>
                <w:szCs w:val="28"/>
                <w:lang w:val="uk-UA" w:eastAsia="en-US"/>
              </w:rPr>
              <w:t xml:space="preserve">Оплата послуг (робіт)  та закупівля матеріалів по влаштуванню бетонної підлоги з зміцненим верхнім </w:t>
            </w:r>
            <w:proofErr w:type="spellStart"/>
            <w:r w:rsidRPr="00CC09CE">
              <w:rPr>
                <w:sz w:val="28"/>
                <w:szCs w:val="28"/>
                <w:lang w:val="uk-UA" w:eastAsia="en-US"/>
              </w:rPr>
              <w:t>слоєм</w:t>
            </w:r>
            <w:proofErr w:type="spellEnd"/>
            <w:r w:rsidRPr="00CC09CE">
              <w:rPr>
                <w:sz w:val="28"/>
                <w:szCs w:val="28"/>
                <w:lang w:val="uk-UA" w:eastAsia="en-US"/>
              </w:rPr>
              <w:t xml:space="preserve">, вкладення бруківки з влаштуванням подушки з щебеневих </w:t>
            </w:r>
            <w:proofErr w:type="spellStart"/>
            <w:r w:rsidRPr="00CC09CE">
              <w:rPr>
                <w:sz w:val="28"/>
                <w:szCs w:val="28"/>
                <w:lang w:val="uk-UA" w:eastAsia="en-US"/>
              </w:rPr>
              <w:t>сумішів</w:t>
            </w:r>
            <w:proofErr w:type="spellEnd"/>
            <w:r w:rsidRPr="00CC09CE">
              <w:rPr>
                <w:sz w:val="28"/>
                <w:szCs w:val="28"/>
                <w:lang w:val="uk-UA" w:eastAsia="en-US"/>
              </w:rPr>
              <w:t>, встановлення кондиціонерів, перекриття покрівель (дахів) будівель, монтаж гумового покриття, встановлення водостічної системи, буріння свердловини на воду, монтаж системи контролю управління доступом, ремонт транспортних засобів для військової частини А2755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1 530 000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  <w:p w:rsidR="00A537FD" w:rsidRDefault="00A537FD" w:rsidP="000C01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537FD" w:rsidRDefault="00A537FD" w:rsidP="000C01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537FD" w:rsidRDefault="00A537FD" w:rsidP="000C011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A537FD" w:rsidTr="000C011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7FD" w:rsidRDefault="00A537FD" w:rsidP="00A537FD">
            <w:pPr>
              <w:widowControl w:val="0"/>
              <w:numPr>
                <w:ilvl w:val="0"/>
                <w:numId w:val="2"/>
              </w:numPr>
              <w:tabs>
                <w:tab w:val="left" w:pos="161"/>
              </w:tabs>
              <w:suppressAutoHyphens w:val="0"/>
              <w:autoSpaceDE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7FD" w:rsidRDefault="00A537FD" w:rsidP="000C0116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Придбання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сувенірної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іміджевої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>
              <w:rPr>
                <w:sz w:val="28"/>
                <w:szCs w:val="28"/>
                <w:lang w:eastAsia="en-US"/>
              </w:rPr>
              <w:t>продукції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А2755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100 000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A537FD" w:rsidTr="000C011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7FD" w:rsidRDefault="00A537FD" w:rsidP="00A537FD">
            <w:pPr>
              <w:widowControl w:val="0"/>
              <w:numPr>
                <w:ilvl w:val="0"/>
                <w:numId w:val="2"/>
              </w:numPr>
              <w:tabs>
                <w:tab w:val="left" w:pos="161"/>
              </w:tabs>
              <w:suppressAutoHyphens w:val="0"/>
              <w:autoSpaceDE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7FD" w:rsidRDefault="00A537FD" w:rsidP="000C0116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Придбання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оргтехніки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А2755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200 000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A537FD" w:rsidTr="000C011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7FD" w:rsidRDefault="00A537FD" w:rsidP="00A537FD">
            <w:pPr>
              <w:widowControl w:val="0"/>
              <w:numPr>
                <w:ilvl w:val="0"/>
                <w:numId w:val="2"/>
              </w:numPr>
              <w:tabs>
                <w:tab w:val="left" w:pos="161"/>
              </w:tabs>
              <w:suppressAutoHyphens w:val="0"/>
              <w:autoSpaceDE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7FD" w:rsidRDefault="00A537FD" w:rsidP="000C0116">
            <w:pPr>
              <w:shd w:val="clear" w:color="auto" w:fill="FFFFFF"/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Придбання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модулів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матеріалів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інвентарю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обладнання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стр</w:t>
            </w:r>
            <w:proofErr w:type="gramEnd"/>
            <w:r>
              <w:rPr>
                <w:sz w:val="28"/>
                <w:szCs w:val="28"/>
                <w:lang w:eastAsia="en-US"/>
              </w:rPr>
              <w:t>ільбища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місця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проведення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стрільб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особового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складу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А2755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565 610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A537FD" w:rsidTr="000C0116"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37FD" w:rsidRDefault="00A537FD" w:rsidP="00A537FD">
            <w:pPr>
              <w:widowControl w:val="0"/>
              <w:numPr>
                <w:ilvl w:val="0"/>
                <w:numId w:val="2"/>
              </w:numPr>
              <w:tabs>
                <w:tab w:val="left" w:pos="161"/>
              </w:tabs>
              <w:suppressAutoHyphens w:val="0"/>
              <w:autoSpaceDE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1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37FD" w:rsidRDefault="00A537FD" w:rsidP="000C0116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Придбання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матеріалів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інвентарю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обладнання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стр</w:t>
            </w:r>
            <w:proofErr w:type="gramEnd"/>
            <w:r>
              <w:rPr>
                <w:sz w:val="28"/>
                <w:szCs w:val="28"/>
                <w:lang w:eastAsia="en-US"/>
              </w:rPr>
              <w:t>ільбища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місця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проведення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стрільб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особового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складу </w:t>
            </w:r>
            <w:proofErr w:type="spellStart"/>
            <w:r>
              <w:rPr>
                <w:sz w:val="28"/>
                <w:szCs w:val="28"/>
                <w:lang w:eastAsia="en-US"/>
              </w:rPr>
              <w:t>військової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частини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А2755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434 390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A537FD" w:rsidTr="000C011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FD" w:rsidRDefault="00A537FD" w:rsidP="00A537FD">
            <w:pPr>
              <w:widowControl w:val="0"/>
              <w:numPr>
                <w:ilvl w:val="0"/>
                <w:numId w:val="2"/>
              </w:numPr>
              <w:tabs>
                <w:tab w:val="left" w:pos="161"/>
              </w:tabs>
              <w:suppressAutoHyphens w:val="0"/>
              <w:autoSpaceDE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FD" w:rsidRDefault="00A537FD" w:rsidP="000C0116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</w:rPr>
              <w:t>Придбання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матеріалів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обладнання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класів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ідготовки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закупівля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меблів</w:t>
            </w:r>
            <w:proofErr w:type="spellEnd"/>
            <w:r>
              <w:rPr>
                <w:sz w:val="28"/>
                <w:szCs w:val="28"/>
              </w:rPr>
              <w:t xml:space="preserve">)  для </w:t>
            </w:r>
            <w:proofErr w:type="spellStart"/>
            <w:r>
              <w:rPr>
                <w:sz w:val="28"/>
                <w:szCs w:val="28"/>
              </w:rPr>
              <w:t>особового</w:t>
            </w:r>
            <w:proofErr w:type="spellEnd"/>
            <w:r>
              <w:rPr>
                <w:sz w:val="28"/>
                <w:szCs w:val="28"/>
              </w:rPr>
              <w:t xml:space="preserve"> складу, </w:t>
            </w:r>
            <w:proofErr w:type="spellStart"/>
            <w:r>
              <w:rPr>
                <w:sz w:val="28"/>
                <w:szCs w:val="28"/>
              </w:rPr>
              <w:t>сантехніки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побутових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пристроїв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учбового</w:t>
            </w:r>
            <w:proofErr w:type="spellEnd"/>
            <w:r>
              <w:rPr>
                <w:sz w:val="28"/>
                <w:szCs w:val="28"/>
              </w:rPr>
              <w:t xml:space="preserve"> корпусу, </w:t>
            </w:r>
            <w:proofErr w:type="spellStart"/>
            <w:r>
              <w:rPr>
                <w:sz w:val="28"/>
                <w:szCs w:val="28"/>
              </w:rPr>
              <w:t>матеріалів</w:t>
            </w:r>
            <w:proofErr w:type="spellEnd"/>
            <w:r>
              <w:rPr>
                <w:sz w:val="28"/>
                <w:szCs w:val="28"/>
              </w:rPr>
              <w:t xml:space="preserve"> для поточного ремонту </w:t>
            </w:r>
            <w:proofErr w:type="spellStart"/>
            <w:r>
              <w:rPr>
                <w:sz w:val="28"/>
                <w:szCs w:val="28"/>
              </w:rPr>
              <w:t>будівель</w:t>
            </w:r>
            <w:proofErr w:type="spellEnd"/>
            <w:r>
              <w:rPr>
                <w:sz w:val="28"/>
                <w:szCs w:val="28"/>
              </w:rPr>
              <w:t xml:space="preserve">, спортивного </w:t>
            </w:r>
            <w:proofErr w:type="spellStart"/>
            <w:r>
              <w:rPr>
                <w:sz w:val="28"/>
                <w:szCs w:val="28"/>
              </w:rPr>
              <w:t>обладнання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інвентарю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облаштування</w:t>
            </w:r>
            <w:proofErr w:type="spellEnd"/>
            <w:r>
              <w:rPr>
                <w:sz w:val="28"/>
                <w:szCs w:val="28"/>
              </w:rPr>
              <w:t xml:space="preserve"> благоустрою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частини</w:t>
            </w:r>
            <w:proofErr w:type="spellEnd"/>
            <w:r>
              <w:rPr>
                <w:sz w:val="28"/>
                <w:szCs w:val="28"/>
              </w:rPr>
              <w:t xml:space="preserve"> А2755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385 750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A537FD" w:rsidTr="000C011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FD" w:rsidRDefault="00A537FD" w:rsidP="00A537FD">
            <w:pPr>
              <w:widowControl w:val="0"/>
              <w:numPr>
                <w:ilvl w:val="0"/>
                <w:numId w:val="2"/>
              </w:numPr>
              <w:tabs>
                <w:tab w:val="left" w:pos="161"/>
              </w:tabs>
              <w:suppressAutoHyphens w:val="0"/>
              <w:autoSpaceDE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FD" w:rsidRDefault="00A537FD" w:rsidP="000C0116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</w:rPr>
              <w:t>Придбання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холодильного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обладнання</w:t>
            </w:r>
            <w:proofErr w:type="spellEnd"/>
            <w:r>
              <w:rPr>
                <w:sz w:val="28"/>
                <w:szCs w:val="28"/>
              </w:rPr>
              <w:t xml:space="preserve">, морозильного </w:t>
            </w:r>
            <w:proofErr w:type="spellStart"/>
            <w:r>
              <w:rPr>
                <w:sz w:val="28"/>
                <w:szCs w:val="28"/>
              </w:rPr>
              <w:t>обладнання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електричних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приладів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електричних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електронних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електротехнічних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товарів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114 250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Сільський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голова</w:t>
            </w:r>
          </w:p>
        </w:tc>
      </w:tr>
      <w:tr w:rsidR="00A537FD" w:rsidTr="000C0116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FD" w:rsidRDefault="00A537FD" w:rsidP="00A537FD">
            <w:pPr>
              <w:widowControl w:val="0"/>
              <w:numPr>
                <w:ilvl w:val="0"/>
                <w:numId w:val="2"/>
              </w:numPr>
              <w:tabs>
                <w:tab w:val="left" w:pos="161"/>
              </w:tabs>
              <w:suppressAutoHyphens w:val="0"/>
              <w:autoSpaceDE/>
              <w:snapToGrid w:val="0"/>
              <w:spacing w:line="276" w:lineRule="auto"/>
              <w:ind w:left="0" w:right="-250" w:firstLine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FD" w:rsidRDefault="00A537FD" w:rsidP="000C0116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Всього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3 130 000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FD" w:rsidRDefault="00A537FD" w:rsidP="000C011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A537FD" w:rsidRDefault="00A537FD" w:rsidP="00A537FD">
      <w:pPr>
        <w:rPr>
          <w:rFonts w:eastAsia="Calibri"/>
          <w:sz w:val="28"/>
          <w:szCs w:val="28"/>
          <w:lang w:val="uk-UA" w:eastAsia="uk-UA"/>
        </w:rPr>
      </w:pPr>
    </w:p>
    <w:p w:rsidR="00A537FD" w:rsidRDefault="00A537FD" w:rsidP="00A537FD">
      <w:pPr>
        <w:rPr>
          <w:rFonts w:eastAsia="Calibri"/>
          <w:sz w:val="28"/>
          <w:szCs w:val="28"/>
        </w:rPr>
      </w:pPr>
    </w:p>
    <w:p w:rsidR="00A537FD" w:rsidRPr="00CC09CE" w:rsidRDefault="00A537FD" w:rsidP="00A537FD">
      <w:pPr>
        <w:rPr>
          <w:b/>
          <w:sz w:val="28"/>
          <w:szCs w:val="28"/>
          <w:lang w:val="uk-UA"/>
        </w:rPr>
      </w:pPr>
    </w:p>
    <w:p w:rsidR="00A537FD" w:rsidRDefault="00A537FD" w:rsidP="00A537FD">
      <w:pPr>
        <w:rPr>
          <w:sz w:val="24"/>
          <w:szCs w:val="24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A537FD" w:rsidRDefault="00A537FD" w:rsidP="00A537FD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AC4ECF"/>
    <w:multiLevelType w:val="hybridMultilevel"/>
    <w:tmpl w:val="595CA362"/>
    <w:lvl w:ilvl="0" w:tplc="03C84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615E"/>
    <w:multiLevelType w:val="hybridMultilevel"/>
    <w:tmpl w:val="48320A10"/>
    <w:lvl w:ilvl="0" w:tplc="4AB08EF8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7FD"/>
    <w:rsid w:val="00135B15"/>
    <w:rsid w:val="00197256"/>
    <w:rsid w:val="00281A9B"/>
    <w:rsid w:val="00423FA0"/>
    <w:rsid w:val="00A537FD"/>
    <w:rsid w:val="00A6330E"/>
    <w:rsid w:val="00B83FB8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F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537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537FD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A537FD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A537F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7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7F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2024-10-18T09:56:00Z</dcterms:created>
  <dcterms:modified xsi:type="dcterms:W3CDTF">2024-10-18T09:56:00Z</dcterms:modified>
</cp:coreProperties>
</file>