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5B" w:rsidRDefault="00852F5B" w:rsidP="00852F5B">
      <w:pPr>
        <w:pStyle w:val="a9"/>
        <w:jc w:val="right"/>
        <w:rPr>
          <w:rFonts w:ascii="Times New Roman" w:hAnsi="Times New Roman"/>
          <w:noProof/>
          <w:sz w:val="28"/>
          <w:szCs w:val="28"/>
          <w:lang w:val="uk-UA"/>
        </w:rPr>
      </w:pPr>
      <w:r>
        <w:rPr>
          <w:rFonts w:ascii="Times New Roman" w:hAnsi="Times New Roman"/>
          <w:noProof/>
          <w:sz w:val="28"/>
          <w:szCs w:val="28"/>
          <w:lang w:val="uk-UA"/>
        </w:rPr>
        <w:t>ПРОЄКТ</w:t>
      </w:r>
    </w:p>
    <w:p w:rsidR="00852F5B" w:rsidRDefault="00852F5B" w:rsidP="00852F5B">
      <w:pPr>
        <w:pStyle w:val="a3"/>
        <w:jc w:val="center"/>
        <w:rPr>
          <w:rFonts w:ascii="Times New Roman" w:hAnsi="Times New Roman"/>
          <w:noProof/>
          <w:sz w:val="28"/>
          <w:szCs w:val="28"/>
          <w:lang w:val="uk-UA"/>
        </w:rPr>
      </w:pPr>
    </w:p>
    <w:p w:rsidR="00852F5B" w:rsidRDefault="00852F5B" w:rsidP="00852F5B">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3420" cy="930275"/>
            <wp:effectExtent l="1905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3420" cy="930275"/>
                    </a:xfrm>
                    <a:prstGeom prst="rect">
                      <a:avLst/>
                    </a:prstGeom>
                    <a:noFill/>
                    <a:ln w="9525">
                      <a:noFill/>
                      <a:miter lim="800000"/>
                      <a:headEnd/>
                      <a:tailEnd/>
                    </a:ln>
                  </pic:spPr>
                </pic:pic>
              </a:graphicData>
            </a:graphic>
          </wp:inline>
        </w:drawing>
      </w:r>
      <w:r>
        <w:rPr>
          <w:rFonts w:ascii="Times New Roman" w:hAnsi="Times New Roman"/>
          <w:noProof/>
          <w:sz w:val="28"/>
          <w:szCs w:val="28"/>
        </w:rPr>
        <w:t> </w:t>
      </w:r>
    </w:p>
    <w:p w:rsidR="00852F5B" w:rsidRDefault="00852F5B" w:rsidP="00852F5B">
      <w:pPr>
        <w:pStyle w:val="a3"/>
        <w:jc w:val="center"/>
        <w:rPr>
          <w:rFonts w:ascii="Times New Roman" w:hAnsi="Times New Roman"/>
          <w:b/>
          <w:noProof/>
          <w:sz w:val="28"/>
          <w:szCs w:val="28"/>
          <w:lang w:val="uk-UA"/>
        </w:rPr>
      </w:pPr>
      <w:r>
        <w:rPr>
          <w:rFonts w:ascii="Times New Roman" w:hAnsi="Times New Roman"/>
          <w:b/>
          <w:noProof/>
          <w:sz w:val="28"/>
          <w:szCs w:val="28"/>
          <w:lang w:val="uk-UA"/>
        </w:rPr>
        <w:t>ВЕРБСЬКА СІЛЬСЬКА РАДА</w:t>
      </w:r>
    </w:p>
    <w:p w:rsidR="00852F5B" w:rsidRDefault="00852F5B" w:rsidP="00852F5B">
      <w:pPr>
        <w:pStyle w:val="a3"/>
        <w:jc w:val="center"/>
        <w:rPr>
          <w:rFonts w:ascii="Times New Roman" w:hAnsi="Times New Roman"/>
          <w:b/>
          <w:noProof/>
          <w:sz w:val="28"/>
          <w:szCs w:val="28"/>
          <w:lang w:val="uk-UA"/>
        </w:rPr>
      </w:pPr>
      <w:r>
        <w:rPr>
          <w:rFonts w:ascii="Times New Roman" w:hAnsi="Times New Roman"/>
          <w:b/>
          <w:noProof/>
          <w:sz w:val="28"/>
          <w:szCs w:val="28"/>
          <w:lang w:val="uk-UA"/>
        </w:rPr>
        <w:t>LX</w:t>
      </w:r>
      <w:r>
        <w:rPr>
          <w:rFonts w:ascii="Times New Roman" w:hAnsi="Times New Roman"/>
          <w:b/>
          <w:noProof/>
          <w:sz w:val="28"/>
          <w:szCs w:val="28"/>
          <w:lang w:val="en-US"/>
        </w:rPr>
        <w:t>XV</w:t>
      </w:r>
      <w:r>
        <w:rPr>
          <w:rFonts w:ascii="Times New Roman" w:hAnsi="Times New Roman"/>
          <w:b/>
          <w:noProof/>
          <w:sz w:val="28"/>
          <w:szCs w:val="28"/>
          <w:lang w:val="uk-UA"/>
        </w:rPr>
        <w:t>ІІ сесія</w:t>
      </w:r>
      <w:r>
        <w:rPr>
          <w:b/>
          <w:sz w:val="28"/>
          <w:szCs w:val="28"/>
          <w:lang w:val="uk-UA"/>
        </w:rPr>
        <w:t xml:space="preserve"> </w:t>
      </w:r>
      <w:r>
        <w:rPr>
          <w:rFonts w:ascii="Times New Roman" w:hAnsi="Times New Roman"/>
          <w:b/>
          <w:noProof/>
          <w:sz w:val="28"/>
          <w:szCs w:val="28"/>
        </w:rPr>
        <w:t>VII</w:t>
      </w:r>
      <w:r>
        <w:rPr>
          <w:rFonts w:ascii="Times New Roman" w:hAnsi="Times New Roman"/>
          <w:b/>
          <w:noProof/>
          <w:sz w:val="28"/>
          <w:szCs w:val="28"/>
          <w:lang w:val="uk-UA"/>
        </w:rPr>
        <w:t>І скликання</w:t>
      </w:r>
    </w:p>
    <w:p w:rsidR="00852F5B" w:rsidRDefault="00852F5B" w:rsidP="00852F5B">
      <w:pPr>
        <w:pStyle w:val="a3"/>
        <w:jc w:val="center"/>
        <w:rPr>
          <w:rFonts w:ascii="Times New Roman" w:hAnsi="Times New Roman"/>
          <w:noProof/>
          <w:sz w:val="28"/>
          <w:szCs w:val="28"/>
          <w:lang w:val="uk-UA"/>
        </w:rPr>
      </w:pPr>
      <w:r>
        <w:rPr>
          <w:rFonts w:ascii="Times New Roman" w:hAnsi="Times New Roman"/>
          <w:noProof/>
          <w:sz w:val="28"/>
          <w:szCs w:val="28"/>
          <w:lang w:val="uk-UA"/>
        </w:rPr>
        <w:t>Р І Ш Е Н</w:t>
      </w:r>
      <w:r>
        <w:rPr>
          <w:rFonts w:ascii="Times New Roman" w:hAnsi="Times New Roman"/>
          <w:noProof/>
          <w:sz w:val="28"/>
          <w:szCs w:val="28"/>
        </w:rPr>
        <w:t> </w:t>
      </w:r>
      <w:r>
        <w:rPr>
          <w:rFonts w:ascii="Times New Roman" w:hAnsi="Times New Roman"/>
          <w:noProof/>
          <w:sz w:val="28"/>
          <w:szCs w:val="28"/>
          <w:lang w:val="uk-UA"/>
        </w:rPr>
        <w:t>Н</w:t>
      </w:r>
      <w:r>
        <w:rPr>
          <w:rFonts w:ascii="Times New Roman" w:hAnsi="Times New Roman"/>
          <w:noProof/>
          <w:sz w:val="28"/>
          <w:szCs w:val="28"/>
        </w:rPr>
        <w:t> </w:t>
      </w:r>
      <w:r>
        <w:rPr>
          <w:rFonts w:ascii="Times New Roman" w:hAnsi="Times New Roman"/>
          <w:noProof/>
          <w:sz w:val="28"/>
          <w:szCs w:val="28"/>
          <w:lang w:val="uk-UA"/>
        </w:rPr>
        <w:t>Я</w:t>
      </w:r>
      <w:r>
        <w:rPr>
          <w:rFonts w:ascii="Times New Roman" w:hAnsi="Times New Roman"/>
          <w:noProof/>
          <w:sz w:val="28"/>
          <w:szCs w:val="28"/>
        </w:rPr>
        <w:t> </w:t>
      </w:r>
    </w:p>
    <w:p w:rsidR="00852F5B" w:rsidRDefault="00852F5B" w:rsidP="00852F5B">
      <w:pPr>
        <w:pStyle w:val="a3"/>
        <w:jc w:val="center"/>
        <w:rPr>
          <w:rFonts w:ascii="Times New Roman" w:hAnsi="Times New Roman"/>
          <w:noProof/>
          <w:sz w:val="28"/>
          <w:szCs w:val="28"/>
          <w:lang w:val="uk-UA"/>
        </w:rPr>
      </w:pPr>
    </w:p>
    <w:p w:rsidR="00852F5B" w:rsidRDefault="00852F5B" w:rsidP="00852F5B">
      <w:pPr>
        <w:pStyle w:val="a3"/>
        <w:rPr>
          <w:rFonts w:ascii="Times New Roman" w:hAnsi="Times New Roman"/>
          <w:noProof/>
          <w:sz w:val="28"/>
          <w:szCs w:val="28"/>
          <w:lang w:val="uk-UA"/>
        </w:rPr>
      </w:pPr>
      <w:r>
        <w:rPr>
          <w:rFonts w:ascii="Times New Roman" w:hAnsi="Times New Roman"/>
          <w:noProof/>
          <w:sz w:val="28"/>
          <w:szCs w:val="28"/>
          <w:lang w:val="uk-UA"/>
        </w:rPr>
        <w:t>14 липня 2026</w:t>
      </w:r>
      <w:r>
        <w:rPr>
          <w:rFonts w:ascii="Times New Roman" w:hAnsi="Times New Roman"/>
          <w:noProof/>
          <w:sz w:val="28"/>
          <w:szCs w:val="28"/>
        </w:rPr>
        <w:t> </w:t>
      </w:r>
      <w:r>
        <w:rPr>
          <w:rFonts w:ascii="Times New Roman" w:hAnsi="Times New Roman"/>
          <w:noProof/>
          <w:sz w:val="28"/>
          <w:szCs w:val="28"/>
          <w:lang w:val="uk-UA"/>
        </w:rPr>
        <w:t>року</w:t>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852F5B" w:rsidRDefault="00852F5B" w:rsidP="00852F5B">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852F5B" w:rsidTr="00852F5B">
        <w:tc>
          <w:tcPr>
            <w:tcW w:w="5070" w:type="dxa"/>
            <w:hideMark/>
          </w:tcPr>
          <w:p w:rsidR="00852F5B" w:rsidRDefault="00852F5B">
            <w:pPr>
              <w:pStyle w:val="a3"/>
              <w:spacing w:line="276" w:lineRule="auto"/>
              <w:jc w:val="both"/>
              <w:rPr>
                <w:rFonts w:ascii="Times New Roman" w:hAnsi="Times New Roman"/>
                <w:sz w:val="28"/>
                <w:szCs w:val="28"/>
              </w:rPr>
            </w:pPr>
            <w:r>
              <w:rPr>
                <w:rFonts w:ascii="Times New Roman" w:hAnsi="Times New Roman"/>
                <w:b/>
                <w:sz w:val="28"/>
                <w:szCs w:val="28"/>
              </w:rPr>
              <w:t>Про затвердження Положення про справляння єдиного податкуу 2027 році</w:t>
            </w:r>
          </w:p>
        </w:tc>
      </w:tr>
    </w:tbl>
    <w:p w:rsidR="00852F5B" w:rsidRDefault="00852F5B" w:rsidP="00852F5B">
      <w:pPr>
        <w:pStyle w:val="a3"/>
        <w:tabs>
          <w:tab w:val="left" w:pos="2095"/>
        </w:tabs>
        <w:spacing w:line="276" w:lineRule="auto"/>
        <w:jc w:val="both"/>
        <w:rPr>
          <w:rFonts w:ascii="Times New Roman" w:hAnsi="Times New Roman"/>
          <w:b/>
          <w:sz w:val="28"/>
          <w:szCs w:val="28"/>
          <w:lang w:val="uk-UA"/>
        </w:rPr>
      </w:pPr>
      <w:r>
        <w:rPr>
          <w:rFonts w:ascii="Times New Roman" w:hAnsi="Times New Roman"/>
          <w:b/>
          <w:sz w:val="28"/>
          <w:szCs w:val="28"/>
          <w:lang w:val="uk-UA"/>
        </w:rPr>
        <w:t xml:space="preserve">        </w:t>
      </w:r>
      <w:r>
        <w:rPr>
          <w:rFonts w:ascii="Times New Roman" w:hAnsi="Times New Roman"/>
          <w:b/>
          <w:sz w:val="28"/>
          <w:szCs w:val="28"/>
          <w:lang w:val="uk-UA"/>
        </w:rPr>
        <w:tab/>
      </w:r>
    </w:p>
    <w:p w:rsidR="00852F5B" w:rsidRDefault="00852F5B" w:rsidP="00852F5B">
      <w:pPr>
        <w:spacing w:line="276" w:lineRule="auto"/>
        <w:ind w:firstLine="708"/>
        <w:jc w:val="both"/>
        <w:rPr>
          <w:sz w:val="28"/>
          <w:szCs w:val="28"/>
          <w:lang w:val="uk-UA"/>
        </w:rPr>
      </w:pPr>
      <w:r>
        <w:rPr>
          <w:sz w:val="28"/>
          <w:szCs w:val="28"/>
          <w:lang w:val="uk-UA"/>
        </w:rPr>
        <w:t>Керуючись Податковим кодексом України від 02.12.2010 № 2755-</w:t>
      </w:r>
      <w:r>
        <w:rPr>
          <w:sz w:val="28"/>
          <w:szCs w:val="28"/>
        </w:rPr>
        <w:t>VI</w:t>
      </w:r>
      <w:r>
        <w:rPr>
          <w:sz w:val="28"/>
          <w:szCs w:val="28"/>
          <w:lang w:val="uk-UA"/>
        </w:rPr>
        <w:t xml:space="preserve"> (зі змінами та доповненнями), пунктом 24 статті 26 Закону України від 21.05.1997 № 280/97-ВР «Про місцеве самоврядування в Україні» (зі змінами), Вербська сільська рада</w:t>
      </w:r>
    </w:p>
    <w:p w:rsidR="00852F5B" w:rsidRDefault="00852F5B" w:rsidP="00852F5B">
      <w:pPr>
        <w:spacing w:line="276" w:lineRule="auto"/>
        <w:ind w:firstLine="708"/>
        <w:jc w:val="both"/>
        <w:rPr>
          <w:bCs/>
          <w:sz w:val="28"/>
          <w:szCs w:val="28"/>
          <w:lang w:val="uk-UA"/>
        </w:rPr>
      </w:pPr>
    </w:p>
    <w:p w:rsidR="00852F5B" w:rsidRDefault="00852F5B" w:rsidP="00852F5B">
      <w:pPr>
        <w:spacing w:line="276" w:lineRule="auto"/>
        <w:jc w:val="center"/>
        <w:outlineLvl w:val="0"/>
        <w:rPr>
          <w:sz w:val="28"/>
          <w:szCs w:val="28"/>
          <w:lang w:val="uk-UA"/>
        </w:rPr>
      </w:pPr>
      <w:r>
        <w:rPr>
          <w:sz w:val="28"/>
          <w:szCs w:val="28"/>
          <w:lang w:val="uk-UA"/>
        </w:rPr>
        <w:t>ВИРІШИЛА:</w:t>
      </w:r>
    </w:p>
    <w:p w:rsidR="00852F5B" w:rsidRDefault="00852F5B" w:rsidP="00852F5B">
      <w:pPr>
        <w:pStyle w:val="a5"/>
        <w:numPr>
          <w:ilvl w:val="0"/>
          <w:numId w:val="1"/>
        </w:numPr>
        <w:tabs>
          <w:tab w:val="left" w:pos="993"/>
        </w:tabs>
        <w:spacing w:line="276" w:lineRule="auto"/>
        <w:ind w:left="0" w:firstLine="284"/>
        <w:jc w:val="both"/>
        <w:rPr>
          <w:sz w:val="28"/>
          <w:szCs w:val="28"/>
        </w:rPr>
      </w:pPr>
      <w:r>
        <w:rPr>
          <w:sz w:val="28"/>
          <w:szCs w:val="28"/>
        </w:rPr>
        <w:t>Затвердити Положення про особливості справляння єдиного податку суб’єктами господарювання, які застосовують спрощену систему оподаткування, обліку та звітності на території Вербської сільської ради, що додається.</w:t>
      </w:r>
    </w:p>
    <w:p w:rsidR="00852F5B" w:rsidRDefault="00852F5B" w:rsidP="00852F5B">
      <w:pPr>
        <w:pStyle w:val="a5"/>
        <w:numPr>
          <w:ilvl w:val="0"/>
          <w:numId w:val="1"/>
        </w:numPr>
        <w:tabs>
          <w:tab w:val="left" w:pos="284"/>
          <w:tab w:val="left" w:pos="993"/>
        </w:tabs>
        <w:spacing w:line="276" w:lineRule="auto"/>
        <w:ind w:left="0" w:firstLine="284"/>
        <w:jc w:val="both"/>
        <w:rPr>
          <w:sz w:val="28"/>
          <w:szCs w:val="28"/>
        </w:rPr>
      </w:pPr>
      <w:r>
        <w:rPr>
          <w:sz w:val="28"/>
          <w:szCs w:val="28"/>
        </w:rPr>
        <w:t>Програмісту сільської ради оприлюднити це рішення шляхом розміщення на інформаційних стендах, офіційному сайті сільської ради і забезпечити направлення копії цього рішення до Головного управління Державної фіскальної служби у Рівненській області.</w:t>
      </w:r>
    </w:p>
    <w:p w:rsidR="00852F5B" w:rsidRDefault="00852F5B" w:rsidP="00852F5B">
      <w:pPr>
        <w:pStyle w:val="a5"/>
        <w:numPr>
          <w:ilvl w:val="0"/>
          <w:numId w:val="1"/>
        </w:numPr>
        <w:tabs>
          <w:tab w:val="left" w:pos="284"/>
          <w:tab w:val="left" w:pos="993"/>
        </w:tabs>
        <w:spacing w:line="276" w:lineRule="auto"/>
        <w:ind w:left="0" w:firstLine="284"/>
        <w:jc w:val="both"/>
        <w:rPr>
          <w:sz w:val="28"/>
          <w:szCs w:val="28"/>
          <w:lang w:val="ru-RU"/>
        </w:rPr>
      </w:pPr>
      <w:r>
        <w:rPr>
          <w:sz w:val="28"/>
          <w:szCs w:val="28"/>
        </w:rPr>
        <w:t>Контроль за повнотою та своєчасністю сплати місцевих податків та зборів до бюджету Вербської сільської ради покласти на Головне управління Державної фіскальної служби у Рівненській області.</w:t>
      </w:r>
    </w:p>
    <w:p w:rsidR="00852F5B" w:rsidRDefault="00852F5B" w:rsidP="00852F5B">
      <w:pPr>
        <w:pStyle w:val="a5"/>
        <w:numPr>
          <w:ilvl w:val="0"/>
          <w:numId w:val="1"/>
        </w:numPr>
        <w:tabs>
          <w:tab w:val="left" w:pos="284"/>
          <w:tab w:val="left" w:pos="993"/>
        </w:tabs>
        <w:spacing w:line="276" w:lineRule="auto"/>
        <w:ind w:left="0" w:firstLine="284"/>
        <w:jc w:val="both"/>
        <w:rPr>
          <w:color w:val="000000"/>
          <w:sz w:val="28"/>
          <w:szCs w:val="28"/>
          <w:bdr w:val="none" w:sz="0" w:space="0" w:color="auto" w:frame="1"/>
        </w:rPr>
      </w:pPr>
      <w:r>
        <w:rPr>
          <w:sz w:val="28"/>
          <w:szCs w:val="28"/>
        </w:rPr>
        <w:t>Рішення набирає чинності з дня прийняття та застосовується з 1 січня 2027 року.</w:t>
      </w:r>
    </w:p>
    <w:p w:rsidR="00852F5B" w:rsidRDefault="00852F5B" w:rsidP="00852F5B">
      <w:pPr>
        <w:pStyle w:val="a5"/>
        <w:numPr>
          <w:ilvl w:val="0"/>
          <w:numId w:val="1"/>
        </w:numPr>
        <w:tabs>
          <w:tab w:val="left" w:pos="284"/>
          <w:tab w:val="left" w:pos="993"/>
        </w:tabs>
        <w:spacing w:line="276" w:lineRule="auto"/>
        <w:ind w:left="0" w:firstLine="284"/>
        <w:jc w:val="both"/>
        <w:rPr>
          <w:color w:val="000000"/>
          <w:sz w:val="28"/>
          <w:szCs w:val="28"/>
          <w:bdr w:val="none" w:sz="0" w:space="0" w:color="auto" w:frame="1"/>
        </w:rPr>
      </w:pPr>
      <w:r>
        <w:rPr>
          <w:sz w:val="28"/>
          <w:szCs w:val="28"/>
        </w:rPr>
        <w:t>Контроль за виконанням цього рішення покласти на постійну комісію з питань бюджету, фінансів, інвестицій, землекористування, архітектури та соціально-економічного розвитку (Аркадій СЕМЕНЮК).</w:t>
      </w:r>
    </w:p>
    <w:p w:rsidR="00852F5B" w:rsidRDefault="00852F5B" w:rsidP="00852F5B">
      <w:pPr>
        <w:pStyle w:val="a5"/>
        <w:spacing w:line="276" w:lineRule="auto"/>
        <w:ind w:left="426"/>
        <w:jc w:val="both"/>
        <w:rPr>
          <w:rFonts w:eastAsia="SimSun"/>
          <w:color w:val="000000" w:themeColor="text1"/>
          <w:sz w:val="28"/>
          <w:szCs w:val="28"/>
        </w:rPr>
      </w:pPr>
    </w:p>
    <w:p w:rsidR="00852F5B" w:rsidRDefault="00852F5B" w:rsidP="00852F5B">
      <w:pPr>
        <w:pStyle w:val="a5"/>
        <w:spacing w:line="276" w:lineRule="auto"/>
        <w:ind w:left="426"/>
        <w:jc w:val="both"/>
        <w:rPr>
          <w:rFonts w:eastAsia="SimSun"/>
          <w:color w:val="000000" w:themeColor="text1"/>
          <w:sz w:val="28"/>
          <w:szCs w:val="28"/>
        </w:rPr>
      </w:pPr>
    </w:p>
    <w:p w:rsidR="00852F5B" w:rsidRDefault="00852F5B" w:rsidP="00852F5B">
      <w:pPr>
        <w:pStyle w:val="a5"/>
        <w:spacing w:line="276" w:lineRule="auto"/>
        <w:ind w:left="426"/>
        <w:jc w:val="both"/>
        <w:rPr>
          <w:rFonts w:eastAsia="SimSun"/>
          <w:color w:val="000000" w:themeColor="text1"/>
          <w:sz w:val="28"/>
          <w:szCs w:val="28"/>
        </w:rPr>
      </w:pPr>
    </w:p>
    <w:p w:rsidR="00852F5B" w:rsidRDefault="00852F5B" w:rsidP="00852F5B">
      <w:pPr>
        <w:pStyle w:val="a3"/>
        <w:jc w:val="center"/>
        <w:rPr>
          <w:rFonts w:ascii="Times New Roman" w:hAnsi="Times New Roman"/>
          <w:b/>
          <w:sz w:val="28"/>
          <w:szCs w:val="28"/>
          <w:lang w:val="uk-UA"/>
        </w:rPr>
      </w:pPr>
      <w:r>
        <w:rPr>
          <w:rFonts w:ascii="Times New Roman" w:hAnsi="Times New Roman"/>
          <w:b/>
          <w:sz w:val="28"/>
          <w:szCs w:val="28"/>
          <w:lang w:val="uk-UA"/>
        </w:rPr>
        <w:t>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Каміла КОТВІНСЬКА</w:t>
      </w:r>
      <w:r>
        <w:rPr>
          <w:rFonts w:ascii="Times New Roman" w:hAnsi="Times New Roman"/>
          <w:b/>
          <w:sz w:val="28"/>
          <w:szCs w:val="28"/>
          <w:lang w:val="uk-UA"/>
        </w:rPr>
        <w:br w:type="page"/>
      </w:r>
    </w:p>
    <w:p w:rsidR="00852F5B" w:rsidRDefault="00852F5B" w:rsidP="00852F5B">
      <w:pPr>
        <w:ind w:left="5529"/>
        <w:rPr>
          <w:sz w:val="28"/>
          <w:szCs w:val="28"/>
          <w:lang w:val="uk-UA"/>
        </w:rPr>
      </w:pPr>
      <w:r>
        <w:rPr>
          <w:sz w:val="28"/>
          <w:szCs w:val="28"/>
          <w:lang w:val="uk-UA"/>
        </w:rPr>
        <w:lastRenderedPageBreak/>
        <w:t>Додаток 1</w:t>
      </w:r>
    </w:p>
    <w:p w:rsidR="00852F5B" w:rsidRDefault="00852F5B" w:rsidP="00852F5B">
      <w:pPr>
        <w:tabs>
          <w:tab w:val="left" w:pos="6855"/>
        </w:tabs>
        <w:ind w:left="5529"/>
        <w:rPr>
          <w:sz w:val="28"/>
          <w:szCs w:val="28"/>
          <w:lang w:val="uk-UA"/>
        </w:rPr>
      </w:pPr>
      <w:r>
        <w:rPr>
          <w:sz w:val="28"/>
          <w:szCs w:val="28"/>
          <w:lang w:val="uk-UA"/>
        </w:rPr>
        <w:t xml:space="preserve">до рішення сесії </w:t>
      </w:r>
    </w:p>
    <w:p w:rsidR="00852F5B" w:rsidRDefault="00852F5B" w:rsidP="00852F5B">
      <w:pPr>
        <w:tabs>
          <w:tab w:val="left" w:pos="6855"/>
        </w:tabs>
        <w:ind w:left="5529"/>
        <w:rPr>
          <w:sz w:val="28"/>
          <w:szCs w:val="28"/>
          <w:lang w:val="uk-UA"/>
        </w:rPr>
      </w:pPr>
      <w:r>
        <w:rPr>
          <w:sz w:val="28"/>
          <w:szCs w:val="28"/>
          <w:lang w:val="uk-UA"/>
        </w:rPr>
        <w:t>Вербської сільської ради</w:t>
      </w:r>
    </w:p>
    <w:p w:rsidR="00852F5B" w:rsidRDefault="00852F5B" w:rsidP="00852F5B">
      <w:pPr>
        <w:pStyle w:val="a3"/>
        <w:ind w:left="5529"/>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від 14 липня 2026 року №</w:t>
      </w:r>
    </w:p>
    <w:p w:rsidR="00852F5B" w:rsidRDefault="00852F5B" w:rsidP="00852F5B">
      <w:pPr>
        <w:pStyle w:val="a3"/>
        <w:jc w:val="center"/>
        <w:rPr>
          <w:rFonts w:ascii="Times New Roman" w:hAnsi="Times New Roman"/>
          <w:b/>
          <w:sz w:val="28"/>
          <w:szCs w:val="28"/>
          <w:lang w:val="uk-UA"/>
        </w:rPr>
      </w:pPr>
    </w:p>
    <w:p w:rsidR="00852F5B" w:rsidRDefault="00852F5B" w:rsidP="00852F5B">
      <w:pPr>
        <w:pStyle w:val="a3"/>
        <w:spacing w:before="100" w:beforeAutospacing="1" w:after="100" w:afterAutospacing="1"/>
        <w:ind w:right="-1"/>
        <w:jc w:val="center"/>
        <w:rPr>
          <w:rFonts w:ascii="Times New Roman CYR" w:eastAsia="Times New Roman" w:hAnsi="Times New Roman CYR"/>
          <w:b/>
          <w:sz w:val="28"/>
          <w:szCs w:val="28"/>
          <w:lang w:val="uk-UA" w:eastAsia="ru-RU"/>
        </w:rPr>
      </w:pPr>
      <w:r>
        <w:rPr>
          <w:rFonts w:ascii="Times New Roman CYR" w:eastAsia="Times New Roman" w:hAnsi="Times New Roman CYR"/>
          <w:b/>
          <w:sz w:val="28"/>
          <w:szCs w:val="28"/>
          <w:lang w:val="uk-UA" w:eastAsia="ru-RU"/>
        </w:rPr>
        <w:t>ПОЛОЖЕННЯ</w:t>
      </w:r>
    </w:p>
    <w:p w:rsidR="00852F5B" w:rsidRDefault="00852F5B" w:rsidP="00852F5B">
      <w:pPr>
        <w:pStyle w:val="a3"/>
        <w:spacing w:before="100" w:beforeAutospacing="1" w:after="100" w:afterAutospacing="1"/>
        <w:ind w:right="-1"/>
        <w:jc w:val="center"/>
        <w:rPr>
          <w:rFonts w:ascii="Times New Roman CYR" w:eastAsia="Times New Roman" w:hAnsi="Times New Roman CYR"/>
          <w:b/>
          <w:sz w:val="28"/>
          <w:szCs w:val="28"/>
          <w:lang w:val="uk-UA" w:eastAsia="ru-RU"/>
        </w:rPr>
      </w:pPr>
      <w:r>
        <w:rPr>
          <w:rFonts w:ascii="Times New Roman CYR" w:eastAsia="Times New Roman" w:hAnsi="Times New Roman CYR"/>
          <w:b/>
          <w:sz w:val="28"/>
          <w:szCs w:val="28"/>
          <w:lang w:val="uk-UA" w:eastAsia="ru-RU"/>
        </w:rPr>
        <w:t>про особливості справляння єдиного податку суб’єктами господарювання, які застосовують спрощену систему оподаткування, обліку та звітності на території Вербської сільської рада</w:t>
      </w:r>
    </w:p>
    <w:p w:rsidR="00852F5B" w:rsidRDefault="00852F5B" w:rsidP="00852F5B">
      <w:pPr>
        <w:pStyle w:val="a3"/>
        <w:spacing w:before="100" w:beforeAutospacing="1" w:after="100" w:afterAutospacing="1"/>
        <w:ind w:right="-1" w:firstLine="709"/>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Розділ 1. Загальні положення</w:t>
      </w:r>
    </w:p>
    <w:p w:rsidR="00852F5B" w:rsidRDefault="00852F5B" w:rsidP="00852F5B">
      <w:pPr>
        <w:spacing w:after="240"/>
        <w:ind w:firstLine="709"/>
        <w:jc w:val="both"/>
        <w:rPr>
          <w:sz w:val="28"/>
          <w:szCs w:val="28"/>
          <w:lang w:val="uk-UA"/>
        </w:rPr>
      </w:pPr>
      <w:r>
        <w:rPr>
          <w:b/>
          <w:sz w:val="28"/>
          <w:szCs w:val="28"/>
          <w:lang w:val="uk-UA"/>
        </w:rPr>
        <w:t>1.1.</w:t>
      </w:r>
      <w:r>
        <w:rPr>
          <w:sz w:val="28"/>
          <w:szCs w:val="28"/>
          <w:lang w:val="uk-UA"/>
        </w:rPr>
        <w:t xml:space="preserve"> Положення про особливості справляння єдиного податку суб’єктами господарювання, які застосовують спрощену систему оподаткування, обліку та звітності (далі – Положення) розроблено відповідно до Податкового кодексу України (із змінами).</w:t>
      </w:r>
    </w:p>
    <w:p w:rsidR="00852F5B" w:rsidRDefault="00852F5B" w:rsidP="00852F5B">
      <w:pPr>
        <w:spacing w:after="240"/>
        <w:ind w:firstLine="709"/>
        <w:jc w:val="both"/>
        <w:rPr>
          <w:sz w:val="28"/>
          <w:szCs w:val="28"/>
        </w:rPr>
      </w:pPr>
      <w:r>
        <w:rPr>
          <w:b/>
          <w:color w:val="000000"/>
          <w:sz w:val="28"/>
          <w:szCs w:val="28"/>
        </w:rPr>
        <w:t>1.2.</w:t>
      </w:r>
      <w:r>
        <w:rPr>
          <w:color w:val="000000"/>
          <w:sz w:val="28"/>
          <w:szCs w:val="28"/>
        </w:rPr>
        <w:t xml:space="preserve"> Спрощена</w:t>
      </w:r>
      <w:r>
        <w:rPr>
          <w:sz w:val="28"/>
          <w:szCs w:val="28"/>
        </w:rPr>
        <w:t xml:space="preserve"> система оподаткування, обліку та звітності - особливий механізм справляння податків і зборів, що встановлює заміну сплати окремих податків і зборів, встановлених Податковим кодексом України, на сплату єдиного податку в порядку та на умовах, визначених главою 1 розділу </w:t>
      </w:r>
      <w:r>
        <w:rPr>
          <w:sz w:val="28"/>
          <w:szCs w:val="28"/>
          <w:lang w:val="en-US"/>
        </w:rPr>
        <w:t>X</w:t>
      </w:r>
      <w:r>
        <w:rPr>
          <w:sz w:val="28"/>
          <w:szCs w:val="28"/>
        </w:rPr>
        <w:t>І</w:t>
      </w:r>
      <w:r>
        <w:rPr>
          <w:sz w:val="28"/>
          <w:szCs w:val="28"/>
          <w:lang w:val="en-US"/>
        </w:rPr>
        <w:t>V</w:t>
      </w:r>
      <w:r>
        <w:rPr>
          <w:sz w:val="28"/>
          <w:szCs w:val="28"/>
        </w:rPr>
        <w:t xml:space="preserve"> Податкового кодексу України, з одночасним веденням спрощеного обліку та звітності.</w:t>
      </w:r>
    </w:p>
    <w:p w:rsidR="00852F5B" w:rsidRDefault="00852F5B" w:rsidP="00852F5B">
      <w:pPr>
        <w:spacing w:after="240"/>
        <w:ind w:firstLine="709"/>
        <w:jc w:val="both"/>
        <w:rPr>
          <w:sz w:val="28"/>
          <w:szCs w:val="28"/>
        </w:rPr>
      </w:pPr>
      <w:r>
        <w:rPr>
          <w:b/>
          <w:bCs/>
          <w:color w:val="000000"/>
          <w:sz w:val="28"/>
          <w:szCs w:val="28"/>
        </w:rPr>
        <w:t>1.3.</w:t>
      </w:r>
      <w:r>
        <w:rPr>
          <w:bCs/>
          <w:color w:val="000000"/>
          <w:sz w:val="28"/>
          <w:szCs w:val="28"/>
        </w:rPr>
        <w:t xml:space="preserve"> </w:t>
      </w:r>
      <w:r>
        <w:rPr>
          <w:sz w:val="28"/>
          <w:szCs w:val="28"/>
        </w:rPr>
        <w:t xml:space="preserve">Юридична особа чи фізична особа - підприємець може самостійно обрати спрощену систему оподаткування, якщо така особа відповідає вимогам, встановленим главою 1 розділу </w:t>
      </w:r>
      <w:r>
        <w:rPr>
          <w:sz w:val="28"/>
          <w:szCs w:val="28"/>
          <w:lang w:val="en-US"/>
        </w:rPr>
        <w:t>X</w:t>
      </w:r>
      <w:r>
        <w:rPr>
          <w:sz w:val="28"/>
          <w:szCs w:val="28"/>
        </w:rPr>
        <w:t>І</w:t>
      </w:r>
      <w:r>
        <w:rPr>
          <w:sz w:val="28"/>
          <w:szCs w:val="28"/>
          <w:lang w:val="en-US"/>
        </w:rPr>
        <w:t>V</w:t>
      </w:r>
      <w:r>
        <w:rPr>
          <w:sz w:val="28"/>
          <w:szCs w:val="28"/>
        </w:rPr>
        <w:t xml:space="preserve"> Податкового кодексу України та реєструється платником єдиного податку в порядку, визначеному зазначеною главою.</w:t>
      </w:r>
    </w:p>
    <w:p w:rsidR="00852F5B" w:rsidRDefault="00852F5B" w:rsidP="00852F5B">
      <w:pPr>
        <w:pStyle w:val="Iniiaieeoaeno"/>
        <w:spacing w:after="240"/>
        <w:rPr>
          <w:b/>
        </w:rPr>
      </w:pPr>
      <w:r>
        <w:rPr>
          <w:b/>
          <w:bCs/>
          <w:color w:val="000000"/>
        </w:rPr>
        <w:t>Розділ 2. Механізм справляння єдиного податку</w:t>
      </w:r>
    </w:p>
    <w:p w:rsidR="00852F5B" w:rsidRDefault="00852F5B" w:rsidP="00852F5B">
      <w:pPr>
        <w:pStyle w:val="Iniiaieeoaeno"/>
        <w:spacing w:after="240"/>
        <w:rPr>
          <w:b/>
        </w:rPr>
      </w:pPr>
      <w:r>
        <w:rPr>
          <w:b/>
        </w:rPr>
        <w:t>2.1. Платники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2.1.1.</w:t>
      </w:r>
      <w:r>
        <w:rPr>
          <w:rFonts w:ascii="Times New Roman" w:hAnsi="Times New Roman"/>
          <w:bCs/>
          <w:sz w:val="28"/>
          <w:szCs w:val="28"/>
        </w:rPr>
        <w:t xml:space="preserve"> </w:t>
      </w:r>
      <w:r>
        <w:rPr>
          <w:rFonts w:ascii="Times New Roman" w:hAnsi="Times New Roman"/>
          <w:sz w:val="28"/>
          <w:szCs w:val="28"/>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b/>
          <w:sz w:val="28"/>
          <w:szCs w:val="28"/>
        </w:rPr>
        <w:t>перша група</w:t>
      </w:r>
      <w:r>
        <w:rPr>
          <w:rFonts w:ascii="Times New Roman" w:hAnsi="Times New Roman"/>
          <w:sz w:val="28"/>
          <w:szCs w:val="28"/>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300 000 гривень;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lastRenderedPageBreak/>
        <w:t xml:space="preserve">2) </w:t>
      </w:r>
      <w:r>
        <w:rPr>
          <w:rFonts w:ascii="Times New Roman" w:hAnsi="Times New Roman"/>
          <w:b/>
          <w:sz w:val="28"/>
          <w:szCs w:val="28"/>
        </w:rPr>
        <w:t>друга група</w:t>
      </w:r>
      <w:r>
        <w:rPr>
          <w:rFonts w:ascii="Times New Roman" w:hAnsi="Times New Roman"/>
          <w:sz w:val="28"/>
          <w:szCs w:val="28"/>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не використовують працю найманих осіб або кількість осіб, які перебувають з ними у трудових відносинах, одночасно не перевищує 10 осіб;</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обсяг доходу не перевищує 1 500 000 гривень.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
          <w:sz w:val="28"/>
          <w:szCs w:val="28"/>
        </w:rPr>
        <w:t>третя група</w:t>
      </w:r>
      <w:r>
        <w:rPr>
          <w:rFonts w:ascii="Times New Roman" w:hAnsi="Times New Roman"/>
          <w:sz w:val="28"/>
          <w:szCs w:val="28"/>
        </w:rPr>
        <w:t xml:space="preserve">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5 000 000 гривень;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b/>
          <w:sz w:val="28"/>
          <w:szCs w:val="28"/>
        </w:rPr>
        <w:t>четверта група</w:t>
      </w:r>
      <w:r>
        <w:rPr>
          <w:rFonts w:ascii="Times New Roman" w:hAnsi="Times New Roman"/>
          <w:sz w:val="28"/>
          <w:szCs w:val="28"/>
        </w:rPr>
        <w:t xml:space="preserve"> – сільськогосподарські товаровиробники: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б) фізичні особи – підприємці, які провадять діяльність виключно в межах фермерського господарства, зареєстрованого відповідно до Закону України «Про фермерське господарство», за умови виконання сукупності таких вимог:</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провадять господарську діяльність (крім постачання) за місцем податкової адреси;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не використовують працю найманих осіб;</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членами фермерського господарства такої фізичної особи є лише члени її сім’ї у визначенні частини другої статті 3 Сімейного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lastRenderedPageBreak/>
        <w:t>- 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2.1.1.1.</w:t>
      </w:r>
      <w:r>
        <w:rPr>
          <w:rFonts w:ascii="Times New Roman" w:hAnsi="Times New Roman"/>
          <w:sz w:val="28"/>
          <w:szCs w:val="28"/>
        </w:rPr>
        <w:t xml:space="preserve">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При розрахунку середньооблікової кількості працівників застосовується визначення, встановлене Податковим кодексом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2.1.1.2.</w:t>
      </w:r>
      <w:r>
        <w:rPr>
          <w:rFonts w:ascii="Times New Roman" w:hAnsi="Times New Roman"/>
          <w:sz w:val="28"/>
          <w:szCs w:val="28"/>
        </w:rPr>
        <w:t xml:space="preserve"> У селекційних центрах, на підприємства (в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2.1.1.3.</w:t>
      </w:r>
      <w:r>
        <w:rPr>
          <w:rFonts w:ascii="Times New Roman" w:hAnsi="Times New Roman"/>
          <w:sz w:val="28"/>
          <w:szCs w:val="28"/>
        </w:rPr>
        <w:t xml:space="preserve"> Якщо сільськогосподарський товаровиробник утворюється шляхом злиття, приєднання, перетворення, поділу або виділення згідно з відповідними нормами Цивільного кодексу України, то норма щодо дотримання частки сільськогосподарського товаровиробництва, яка дорівнює або перевищує 75 відсотків за попередній податковий (звітний) рік, поширюється на:</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усіх осіб окремо, які зливаються або приєднуються;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 кожну окрему особу, утворену шляхом поділу або виділу; </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особу, утворену шляхом перетворення.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2.1.1.4.</w:t>
      </w:r>
      <w:r>
        <w:rPr>
          <w:rFonts w:ascii="Times New Roman" w:hAnsi="Times New Roman"/>
          <w:sz w:val="28"/>
          <w:szCs w:val="28"/>
        </w:rPr>
        <w:t xml:space="preserve"> Сільськогосподарські товаровиробники, утворені шляхом злиття або приєднання, можуть бути платниками податку в рік утворення, якщо частка сільськогосподарського товаровиробництва, отримана за попередній податковий (звітний) рік всіма товаровиробниками, які беруть участь у їх утворенні, дорівнює або перевищує 75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2.1.1.5.</w:t>
      </w:r>
      <w:r>
        <w:rPr>
          <w:rFonts w:ascii="Times New Roman" w:hAnsi="Times New Roman"/>
          <w:sz w:val="28"/>
          <w:szCs w:val="28"/>
        </w:rPr>
        <w:t xml:space="preserve"> Сільськогосподарські товаровиробники – юридичні особи, утворені шляхом перетворення платника податку, можуть бути платниками податку в рік перетворення, якщо частка сільськогосподарського товаровиробництва, отримана за попередній податковий (звітний) рік, дорівнює або перевищує 75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2.1.1.6.</w:t>
      </w:r>
      <w:r>
        <w:rPr>
          <w:rFonts w:ascii="Times New Roman" w:hAnsi="Times New Roman"/>
          <w:sz w:val="28"/>
          <w:szCs w:val="28"/>
        </w:rPr>
        <w:t xml:space="preserve"> Сільськогосподарські товаровиробники, утворені шляхом поділу або виділення, можуть бути платниками податку з наступного року, якщо </w:t>
      </w:r>
      <w:r>
        <w:rPr>
          <w:rFonts w:ascii="Times New Roman" w:hAnsi="Times New Roman"/>
          <w:sz w:val="28"/>
          <w:szCs w:val="28"/>
        </w:rPr>
        <w:lastRenderedPageBreak/>
        <w:t>частка сільськогосподарського товаровиробництва, отримана за попередній податковий (звітний) рік, дорівнює або перевищує 75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2.1.1.7.</w:t>
      </w:r>
      <w:r>
        <w:rPr>
          <w:rFonts w:ascii="Times New Roman" w:hAnsi="Times New Roman"/>
          <w:sz w:val="28"/>
          <w:szCs w:val="28"/>
        </w:rPr>
        <w:t xml:space="preserve"> 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товаровиробництва , отримана за попередній податковий (звітний) рік, дорівнює або перевищує 75 відсотків, а фізичні особи - підприємці – у рік державної реєстрації.</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w:t>
      </w:r>
      <w:r>
        <w:rPr>
          <w:rFonts w:ascii="Times New Roman" w:hAnsi="Times New Roman"/>
          <w:sz w:val="28"/>
          <w:szCs w:val="28"/>
        </w:rPr>
        <w:t xml:space="preserve"> Не можуть бути платниками єдиного податку першої – третьої груп:</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2.1.2.1.</w:t>
      </w:r>
      <w:r>
        <w:rPr>
          <w:rFonts w:ascii="Times New Roman" w:hAnsi="Times New Roman"/>
          <w:sz w:val="28"/>
          <w:szCs w:val="28"/>
        </w:rPr>
        <w:t xml:space="preserve"> Суб’єкти господарювання (юридичні особи та фізичні особи - підприємці), які здійснюють:</w:t>
      </w:r>
    </w:p>
    <w:p w:rsidR="00852F5B" w:rsidRDefault="00852F5B" w:rsidP="00852F5B">
      <w:pPr>
        <w:pStyle w:val="a3"/>
        <w:spacing w:line="276" w:lineRule="auto"/>
        <w:ind w:firstLine="284"/>
        <w:jc w:val="both"/>
        <w:rPr>
          <w:rFonts w:ascii="Times New Roman" w:hAnsi="Times New Roman"/>
          <w:color w:val="000000"/>
          <w:sz w:val="28"/>
          <w:szCs w:val="28"/>
        </w:rPr>
      </w:pPr>
      <w:bookmarkStart w:id="0" w:name="n6974"/>
      <w:bookmarkEnd w:id="0"/>
      <w:r>
        <w:rPr>
          <w:rFonts w:ascii="Times New Roman" w:hAnsi="Times New Roman"/>
          <w:sz w:val="28"/>
          <w:szCs w:val="28"/>
        </w:rPr>
        <w:t xml:space="preserve">1) діяльність з організації, проведення азартних ігор, </w:t>
      </w:r>
      <w:r>
        <w:rPr>
          <w:rFonts w:ascii="Times New Roman" w:hAnsi="Times New Roman"/>
          <w:color w:val="000000"/>
          <w:sz w:val="28"/>
          <w:szCs w:val="28"/>
        </w:rPr>
        <w:t>лотерей (крім розповсюдження лотерей), парі (букмекерське парі, парі тоталізатора);</w:t>
      </w:r>
    </w:p>
    <w:p w:rsidR="00852F5B" w:rsidRDefault="00852F5B" w:rsidP="00852F5B">
      <w:pPr>
        <w:pStyle w:val="a3"/>
        <w:spacing w:line="276" w:lineRule="auto"/>
        <w:ind w:firstLine="284"/>
        <w:jc w:val="both"/>
        <w:rPr>
          <w:rFonts w:ascii="Times New Roman" w:hAnsi="Times New Roman"/>
          <w:sz w:val="28"/>
          <w:szCs w:val="28"/>
        </w:rPr>
      </w:pPr>
      <w:bookmarkStart w:id="1" w:name="n6975"/>
      <w:bookmarkStart w:id="2" w:name="n6976"/>
      <w:bookmarkEnd w:id="1"/>
      <w:bookmarkEnd w:id="2"/>
      <w:r>
        <w:rPr>
          <w:rFonts w:ascii="Times New Roman" w:hAnsi="Times New Roman"/>
          <w:sz w:val="28"/>
          <w:szCs w:val="28"/>
        </w:rPr>
        <w:t>2) обмін іноземної валюти;</w:t>
      </w:r>
    </w:p>
    <w:p w:rsidR="00852F5B" w:rsidRDefault="00852F5B" w:rsidP="00852F5B">
      <w:pPr>
        <w:pStyle w:val="a3"/>
        <w:spacing w:line="276" w:lineRule="auto"/>
        <w:ind w:firstLine="284"/>
        <w:jc w:val="both"/>
        <w:rPr>
          <w:rFonts w:ascii="Times New Roman" w:hAnsi="Times New Roman"/>
          <w:sz w:val="28"/>
          <w:szCs w:val="28"/>
        </w:rPr>
      </w:pPr>
      <w:bookmarkStart w:id="3" w:name="n6977"/>
      <w:bookmarkEnd w:id="3"/>
      <w:r>
        <w:rPr>
          <w:rFonts w:ascii="Times New Roman" w:hAnsi="Times New Roman"/>
          <w:sz w:val="28"/>
          <w:szCs w:val="28"/>
        </w:rPr>
        <w:t xml:space="preserve">3) виробництво, експорт, імпорт, продаж підакцизних товарів (крім роздрібного продажу паливно-мастильних матеріалів в ємностях до </w:t>
      </w:r>
      <w:smartTag w:uri="urn:schemas-microsoft-com:office:smarttags" w:element="metricconverter">
        <w:smartTagPr>
          <w:attr w:name="ProductID" w:val="20 літрів"/>
        </w:smartTagPr>
        <w:r>
          <w:rPr>
            <w:rFonts w:ascii="Times New Roman" w:hAnsi="Times New Roman"/>
            <w:sz w:val="28"/>
            <w:szCs w:val="28"/>
          </w:rPr>
          <w:t>20 літрів</w:t>
        </w:r>
      </w:smartTag>
      <w:r>
        <w:rPr>
          <w:rFonts w:ascii="Times New Roman" w:hAnsi="Times New Roman"/>
          <w:sz w:val="28"/>
          <w:szCs w:val="28"/>
        </w:rPr>
        <w:t xml:space="preserve"> та діяльності фізичних осіб, пов'язаної з роздрібним продажем пива, сидру, пері (без додавання спирту) та столових вин);</w:t>
      </w:r>
    </w:p>
    <w:p w:rsidR="00852F5B" w:rsidRDefault="00852F5B" w:rsidP="00852F5B">
      <w:pPr>
        <w:pStyle w:val="a3"/>
        <w:spacing w:line="276" w:lineRule="auto"/>
        <w:ind w:firstLine="284"/>
        <w:jc w:val="both"/>
        <w:rPr>
          <w:rFonts w:ascii="Times New Roman" w:hAnsi="Times New Roman"/>
          <w:sz w:val="28"/>
          <w:szCs w:val="28"/>
        </w:rPr>
      </w:pPr>
      <w:bookmarkStart w:id="4" w:name="n6978"/>
      <w:bookmarkEnd w:id="4"/>
      <w:r>
        <w:rPr>
          <w:rFonts w:ascii="Times New Roman" w:hAnsi="Times New Roman"/>
          <w:sz w:val="28"/>
          <w:szCs w:val="28"/>
        </w:rPr>
        <w:t>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852F5B" w:rsidRDefault="00852F5B" w:rsidP="00852F5B">
      <w:pPr>
        <w:pStyle w:val="a3"/>
        <w:spacing w:line="276" w:lineRule="auto"/>
        <w:ind w:firstLine="284"/>
        <w:jc w:val="both"/>
        <w:rPr>
          <w:rFonts w:ascii="Times New Roman" w:hAnsi="Times New Roman"/>
          <w:sz w:val="28"/>
          <w:szCs w:val="28"/>
        </w:rPr>
      </w:pPr>
      <w:bookmarkStart w:id="5" w:name="n6979"/>
      <w:bookmarkStart w:id="6" w:name="n6980"/>
      <w:bookmarkEnd w:id="5"/>
      <w:bookmarkEnd w:id="6"/>
      <w:r>
        <w:rPr>
          <w:rFonts w:ascii="Times New Roman" w:hAnsi="Times New Roman"/>
          <w:sz w:val="28"/>
          <w:szCs w:val="28"/>
        </w:rPr>
        <w:t>5) видобуток, реалізацію корисних копалин, крім реалізації корисних копалин місцевого значення;</w:t>
      </w:r>
    </w:p>
    <w:p w:rsidR="00852F5B" w:rsidRDefault="00852F5B" w:rsidP="00852F5B">
      <w:pPr>
        <w:pStyle w:val="a3"/>
        <w:spacing w:line="276" w:lineRule="auto"/>
        <w:ind w:firstLine="284"/>
        <w:jc w:val="both"/>
        <w:rPr>
          <w:rFonts w:ascii="Times New Roman" w:hAnsi="Times New Roman"/>
          <w:sz w:val="28"/>
          <w:szCs w:val="28"/>
        </w:rPr>
      </w:pPr>
      <w:bookmarkStart w:id="7" w:name="n6981"/>
      <w:bookmarkStart w:id="8" w:name="n6982"/>
      <w:bookmarkEnd w:id="7"/>
      <w:bookmarkEnd w:id="8"/>
      <w:r>
        <w:rPr>
          <w:rFonts w:ascii="Times New Roman" w:hAnsi="Times New Roman"/>
          <w:sz w:val="28"/>
          <w:szCs w:val="28"/>
        </w:rPr>
        <w:t xml:space="preserve">6) діяльність у сфері фінансового посередництва, крім діяльності у сфері страхування, яка здійснюється страховими агентами, визначеними </w:t>
      </w:r>
      <w:hyperlink r:id="rId6" w:tgtFrame="_blank" w:history="1">
        <w:r>
          <w:rPr>
            <w:rStyle w:val="a6"/>
            <w:rFonts w:ascii="Times New Roman" w:hAnsi="Times New Roman"/>
            <w:sz w:val="28"/>
            <w:szCs w:val="28"/>
          </w:rPr>
          <w:t xml:space="preserve">Законом України «Про </w:t>
        </w:r>
      </w:hyperlink>
      <w:r>
        <w:rPr>
          <w:rFonts w:ascii="Times New Roman" w:hAnsi="Times New Roman"/>
          <w:sz w:val="28"/>
          <w:szCs w:val="28"/>
        </w:rPr>
        <w:t>страхування», сюрвейєрами, аварійними комісарами та аджастерами, визначеними розділом ІІІ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bookmarkStart w:id="9" w:name="n6983"/>
      <w:bookmarkEnd w:id="9"/>
      <w:r>
        <w:rPr>
          <w:rFonts w:ascii="Times New Roman" w:hAnsi="Times New Roman"/>
          <w:sz w:val="28"/>
          <w:szCs w:val="28"/>
        </w:rPr>
        <w:t>7) діяльність з управління підприємствами;</w:t>
      </w:r>
    </w:p>
    <w:p w:rsidR="00852F5B" w:rsidRDefault="00852F5B" w:rsidP="00852F5B">
      <w:pPr>
        <w:pStyle w:val="a3"/>
        <w:spacing w:line="276" w:lineRule="auto"/>
        <w:ind w:firstLine="284"/>
        <w:jc w:val="both"/>
        <w:rPr>
          <w:rFonts w:ascii="Times New Roman" w:hAnsi="Times New Roman"/>
          <w:sz w:val="28"/>
          <w:szCs w:val="28"/>
        </w:rPr>
      </w:pPr>
      <w:bookmarkStart w:id="10" w:name="n6984"/>
      <w:bookmarkEnd w:id="10"/>
      <w:r>
        <w:rPr>
          <w:rFonts w:ascii="Times New Roman" w:hAnsi="Times New Roman"/>
          <w:sz w:val="28"/>
          <w:szCs w:val="28"/>
        </w:rPr>
        <w:t>8) діяльність з надання послуг пошти (крім кур’єрської діяльності) та зв'язку (крім діяльності, що не підлягає ліцензуванню);</w:t>
      </w:r>
    </w:p>
    <w:p w:rsidR="00852F5B" w:rsidRDefault="00852F5B" w:rsidP="00852F5B">
      <w:pPr>
        <w:pStyle w:val="a3"/>
        <w:spacing w:line="276" w:lineRule="auto"/>
        <w:ind w:firstLine="284"/>
        <w:jc w:val="both"/>
        <w:rPr>
          <w:rFonts w:ascii="Times New Roman" w:hAnsi="Times New Roman"/>
          <w:sz w:val="28"/>
          <w:szCs w:val="28"/>
        </w:rPr>
      </w:pPr>
      <w:bookmarkStart w:id="11" w:name="n6985"/>
      <w:bookmarkStart w:id="12" w:name="n6986"/>
      <w:bookmarkEnd w:id="11"/>
      <w:bookmarkEnd w:id="12"/>
      <w:r>
        <w:rPr>
          <w:rFonts w:ascii="Times New Roman" w:hAnsi="Times New Roman"/>
          <w:sz w:val="28"/>
          <w:szCs w:val="28"/>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852F5B" w:rsidRDefault="00852F5B" w:rsidP="00852F5B">
      <w:pPr>
        <w:pStyle w:val="a3"/>
        <w:spacing w:line="276" w:lineRule="auto"/>
        <w:ind w:firstLine="284"/>
        <w:jc w:val="both"/>
        <w:rPr>
          <w:rFonts w:ascii="Times New Roman" w:hAnsi="Times New Roman"/>
          <w:sz w:val="28"/>
          <w:szCs w:val="28"/>
        </w:rPr>
      </w:pPr>
      <w:bookmarkStart w:id="13" w:name="n6987"/>
      <w:bookmarkEnd w:id="13"/>
      <w:r>
        <w:rPr>
          <w:rFonts w:ascii="Times New Roman" w:hAnsi="Times New Roman"/>
          <w:sz w:val="28"/>
          <w:szCs w:val="28"/>
        </w:rPr>
        <w:t>10) діяльність з організації, проведення гастрольних заходів;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2.1.2.2.</w:t>
      </w:r>
      <w:r>
        <w:rPr>
          <w:rFonts w:ascii="Times New Roman" w:hAnsi="Times New Roman"/>
          <w:sz w:val="28"/>
          <w:szCs w:val="28"/>
        </w:rPr>
        <w:t xml:space="preserve"> Фізичні особи - підприємці, які здійснюють технічні випробування та дослідження (група 74.3 КВЕД ДК 009:2005), діяльність у сфері аудиту.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2.1.2.3.</w:t>
      </w:r>
      <w:r>
        <w:rPr>
          <w:rFonts w:ascii="Times New Roman" w:hAnsi="Times New Roman"/>
          <w:sz w:val="28"/>
          <w:szCs w:val="28"/>
        </w:rPr>
        <w:t xml:space="preserve"> Фізичні особи - підприємці, які надають в оренду земельні ділянки, загальна площа яких перевищує 0,2 гектара, житлові приміщення та/або їх </w:t>
      </w:r>
      <w:r>
        <w:rPr>
          <w:rFonts w:ascii="Times New Roman" w:hAnsi="Times New Roman"/>
          <w:sz w:val="28"/>
          <w:szCs w:val="28"/>
        </w:rPr>
        <w:lastRenderedPageBreak/>
        <w:t>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2.1.2.4.</w:t>
      </w:r>
      <w:r>
        <w:rPr>
          <w:rFonts w:ascii="Times New Roman" w:hAnsi="Times New Roman"/>
          <w:sz w:val="28"/>
          <w:szCs w:val="28"/>
        </w:rPr>
        <w:t xml:space="preserve">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2.1.2.5.</w:t>
      </w:r>
      <w:r>
        <w:rPr>
          <w:rFonts w:ascii="Times New Roman" w:hAnsi="Times New Roman"/>
          <w:sz w:val="28"/>
          <w:szCs w:val="28"/>
        </w:rPr>
        <w:t xml:space="preserve">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2.1.2.6.</w:t>
      </w:r>
      <w:r>
        <w:rPr>
          <w:rFonts w:ascii="Times New Roman" w:hAnsi="Times New Roman"/>
          <w:sz w:val="28"/>
          <w:szCs w:val="28"/>
        </w:rPr>
        <w:t xml:space="preserve">  Представництва, філії, відділення та інші відокремлені підрозділи юридичної особи, яка не є платником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2.1.2.7.</w:t>
      </w:r>
      <w:r>
        <w:rPr>
          <w:rFonts w:ascii="Times New Roman" w:hAnsi="Times New Roman"/>
          <w:sz w:val="28"/>
          <w:szCs w:val="28"/>
        </w:rPr>
        <w:t xml:space="preserve"> Фізичні та юридичні особи – нерезиденти.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2.1.2.8.</w:t>
      </w:r>
      <w:r>
        <w:rPr>
          <w:rFonts w:ascii="Times New Roman" w:hAnsi="Times New Roman"/>
          <w:sz w:val="28"/>
          <w:szCs w:val="28"/>
        </w:rPr>
        <w:t xml:space="preserve"> 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2.1.3.</w:t>
      </w:r>
      <w:r>
        <w:rPr>
          <w:rFonts w:ascii="Times New Roman" w:hAnsi="Times New Roman"/>
          <w:sz w:val="28"/>
          <w:szCs w:val="28"/>
        </w:rPr>
        <w:t xml:space="preserve"> Не можуть бути платниками єдиного податку четвертої групи: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2.1.3.1.</w:t>
      </w:r>
      <w:r>
        <w:rPr>
          <w:rFonts w:ascii="Times New Roman" w:hAnsi="Times New Roman"/>
          <w:sz w:val="28"/>
          <w:szCs w:val="28"/>
        </w:rPr>
        <w:t xml:space="preserve">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2.1.3.2.</w:t>
      </w:r>
      <w:r>
        <w:rPr>
          <w:rFonts w:ascii="Times New Roman" w:hAnsi="Times New Roman"/>
          <w:sz w:val="28"/>
          <w:szCs w:val="28"/>
        </w:rPr>
        <w:t xml:space="preserve"> Суб’єкти господарювання, що провадять діяльність з виробництва підакцизних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вин виноградних, вин плодово-ягідних та/або напоїв медових, вироблених та розлитих у споживчу тару малими виробництвами виноробної продукції з виноматеріалів виключно власного виробництва  (не придбаних), отриманих шляхом переробки плодів, ягід, винограду, меду власного виробництва (не придбаних), отриманих шляхом переробки плодів, ягід, винограду, меду власного виробництва, а також крім електричної енергії, виробленої кваліфікованими когенераційними установками та/або з відновлюваних джерел енергії (за умови, що дохід від реалізації такої енергії не перевищує </w:t>
      </w:r>
      <w:r>
        <w:rPr>
          <w:rFonts w:ascii="Times New Roman" w:hAnsi="Times New Roman"/>
          <w:sz w:val="28"/>
          <w:szCs w:val="28"/>
        </w:rPr>
        <w:lastRenderedPageBreak/>
        <w:t>25 відсотків доходу від реалізації продукції (товарів, робіт, послуг) такого суб’єкта господарювання);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2.1.3.3.</w:t>
      </w:r>
      <w:r>
        <w:rPr>
          <w:rFonts w:ascii="Times New Roman" w:hAnsi="Times New Roman"/>
          <w:sz w:val="28"/>
          <w:szCs w:val="28"/>
        </w:rPr>
        <w:t xml:space="preserve"> 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2.1.4.</w:t>
      </w:r>
      <w:r>
        <w:rPr>
          <w:rFonts w:ascii="Times New Roman" w:hAnsi="Times New Roman"/>
          <w:sz w:val="28"/>
          <w:szCs w:val="28"/>
        </w:rPr>
        <w:t xml:space="preserve"> 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2.1.5.</w:t>
      </w:r>
      <w:r>
        <w:rPr>
          <w:rFonts w:ascii="Times New Roman" w:hAnsi="Times New Roman"/>
          <w:sz w:val="28"/>
          <w:szCs w:val="28"/>
        </w:rPr>
        <w:t xml:space="preserve"> </w:t>
      </w:r>
      <w:r>
        <w:rPr>
          <w:rFonts w:ascii="Times New Roman" w:hAnsi="Times New Roman"/>
          <w:bCs/>
          <w:sz w:val="28"/>
          <w:szCs w:val="28"/>
        </w:rPr>
        <w:t>Під побутовими послугами населенню</w:t>
      </w:r>
      <w:r>
        <w:rPr>
          <w:rFonts w:ascii="Times New Roman" w:hAnsi="Times New Roman"/>
          <w:sz w:val="28"/>
          <w:szCs w:val="28"/>
        </w:rPr>
        <w:t>, які надаються першою та другою групами платників єдиного податку, розуміються такі види послуг:</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 виготовлення взуття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 послуги з ремонту взуття;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 виготовлення швейних 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4) виготовлення виробів із шкіри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5) виготовлення виробів з хутра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6) виготовлення спіднього одягу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7) виготовлення текстильних виробів та текстильної галантереї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8) виготовлення головних уборів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9) додаткові послуги до виготовлення 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10) послуги з ремонту одягу та побутових текстильних 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11) виготовлення та в’язання трикотажних 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12) послуги з ремонту трикотажних 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13) виготовлення килимів та килимових 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14) послуги з ремонту та реставрації килимів та килимових 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15) виготовлення шкіряних галантерейних та дорожніх 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16) послуги з ремонту шкіряних галантерейних та дорожніх 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17) виготовлення меблів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18) послуги з ремонту, реставрації та поновлення меблів;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19) виготовлення теслярських та столярних 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20) технічне обслуговування та ремонт автомобілів, мотоциклів, моторолерів і мопедів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21) послуги з ремонту радіотелевізійної та іншої аудіо- і відеоапаратури;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lastRenderedPageBreak/>
        <w:t>22) послуги з ремонту електропобутової техніки та інших побутових приладів;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23) послуги з ремонту годинників;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24) послуги з ремонту велосипедів;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25) послуги з технічного обслуговування і ремонту музичних інструментів;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26) виготовлення металовиробів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27) послуги з ремонту інших предметів особистого користування, домашнього вжитку та металовиробів;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28) виготовлення ювелірних виробів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29) послуги з ремонту ювелірних 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30) прокат речей особистого користування та побутових товарів;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31) послуги з виконання фоторобіт;</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32) послуги з оброблення плівок;</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33) послуги з прання, оброблення білизни та інших текстильних 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34) послуги з чищення та фарбування текстильних, трикотажних і хутрових виробів;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35) вичинка хутрових шкур за індивідуальним замовленням;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36) послуги перукарень;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37) ритуальні послуги;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38) послуги, пов’язані з сільським та лісовим господарством;</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39) послуги домашньої прислуги;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40) послуги, пов’язані з очищенням та прибиранням приміщень за індивідуальним замовленням.</w:t>
      </w:r>
    </w:p>
    <w:p w:rsidR="00852F5B" w:rsidRDefault="00852F5B" w:rsidP="00852F5B">
      <w:pPr>
        <w:pStyle w:val="StyleZakonu0"/>
        <w:spacing w:after="24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2.2. База оподаткування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2.2.1.</w:t>
      </w:r>
      <w:r>
        <w:rPr>
          <w:rFonts w:ascii="Times New Roman" w:hAnsi="Times New Roman"/>
          <w:sz w:val="28"/>
          <w:szCs w:val="28"/>
        </w:rPr>
        <w:t xml:space="preserve"> Порядок визначення доходів та їх склад для платників єдиного податку першої - третьої груп передбачено статтею 292 Податкового кодексу України.</w:t>
      </w:r>
    </w:p>
    <w:p w:rsidR="00852F5B" w:rsidRDefault="00852F5B" w:rsidP="00852F5B">
      <w:pPr>
        <w:pStyle w:val="a3"/>
        <w:spacing w:line="276" w:lineRule="auto"/>
        <w:ind w:firstLine="284"/>
        <w:jc w:val="both"/>
      </w:pPr>
      <w:r>
        <w:rPr>
          <w:rFonts w:ascii="Times New Roman" w:hAnsi="Times New Roman"/>
          <w:b/>
          <w:sz w:val="28"/>
          <w:szCs w:val="28"/>
        </w:rPr>
        <w:t>2.2.2.</w:t>
      </w:r>
      <w:r>
        <w:rPr>
          <w:rFonts w:ascii="Times New Roman" w:hAnsi="Times New Roman"/>
          <w:sz w:val="28"/>
          <w:szCs w:val="28"/>
        </w:rPr>
        <w:t xml:space="preserve"> Об’єкт та база оподаткування для платників єдиного податку четвертої групи передбачена статтею 292¹ Податкового кодексу</w:t>
      </w:r>
      <w:r>
        <w:t xml:space="preserve"> України.</w:t>
      </w:r>
    </w:p>
    <w:p w:rsidR="00852F5B" w:rsidRDefault="00852F5B" w:rsidP="00852F5B">
      <w:pPr>
        <w:pStyle w:val="StyleZakonu0"/>
        <w:spacing w:after="24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2.3. Ставки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color w:val="000000"/>
          <w:sz w:val="28"/>
          <w:szCs w:val="28"/>
        </w:rPr>
        <w:t>2.3.1.</w:t>
      </w:r>
      <w:r>
        <w:rPr>
          <w:rFonts w:ascii="Times New Roman" w:hAnsi="Times New Roman"/>
          <w:color w:val="000000"/>
          <w:sz w:val="28"/>
          <w:szCs w:val="28"/>
        </w:rPr>
        <w:t xml:space="preserve"> </w:t>
      </w:r>
      <w:r>
        <w:rPr>
          <w:rFonts w:ascii="Times New Roman" w:hAnsi="Times New Roman"/>
          <w:sz w:val="28"/>
          <w:szCs w:val="28"/>
        </w:rPr>
        <w:t>Ставки єдиного податку для платників: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другої групи – у відсотках (фіксовані ставки) розміру мінімальної заробітної плати, встановленої законом на 1 січня податкового (звітного) року;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третьої групи – у відсотках до доходу (відсоткові ставки).</w:t>
      </w:r>
    </w:p>
    <w:p w:rsidR="00852F5B" w:rsidRDefault="00852F5B" w:rsidP="00852F5B">
      <w:pPr>
        <w:pStyle w:val="a3"/>
        <w:spacing w:line="276" w:lineRule="auto"/>
        <w:ind w:firstLine="284"/>
        <w:jc w:val="both"/>
        <w:rPr>
          <w:rFonts w:ascii="Times New Roman" w:hAnsi="Times New Roman"/>
          <w:color w:val="000000"/>
          <w:sz w:val="28"/>
          <w:szCs w:val="28"/>
        </w:rPr>
      </w:pPr>
      <w:r>
        <w:rPr>
          <w:rFonts w:ascii="Times New Roman" w:hAnsi="Times New Roman"/>
          <w:b/>
          <w:bCs/>
          <w:color w:val="000000"/>
          <w:sz w:val="28"/>
          <w:szCs w:val="28"/>
        </w:rPr>
        <w:lastRenderedPageBreak/>
        <w:t>2.3.2.</w:t>
      </w:r>
      <w:r>
        <w:rPr>
          <w:rFonts w:ascii="Times New Roman" w:hAnsi="Times New Roman"/>
          <w:bCs/>
          <w:color w:val="000000"/>
          <w:sz w:val="28"/>
          <w:szCs w:val="28"/>
        </w:rPr>
        <w:t xml:space="preserve"> </w:t>
      </w:r>
      <w:r>
        <w:rPr>
          <w:rFonts w:ascii="Times New Roman" w:hAnsi="Times New Roman"/>
          <w:color w:val="000000"/>
          <w:sz w:val="28"/>
          <w:szCs w:val="28"/>
        </w:rPr>
        <w:t xml:space="preserve">Фіксовані ставки </w:t>
      </w:r>
      <w:r>
        <w:rPr>
          <w:rFonts w:ascii="Times New Roman" w:hAnsi="Times New Roman"/>
          <w:sz w:val="28"/>
          <w:szCs w:val="28"/>
        </w:rPr>
        <w:t xml:space="preserve">єдиного податку </w:t>
      </w:r>
      <w:r>
        <w:rPr>
          <w:rFonts w:ascii="Times New Roman" w:hAnsi="Times New Roman"/>
          <w:color w:val="000000"/>
          <w:sz w:val="28"/>
          <w:szCs w:val="28"/>
        </w:rPr>
        <w:t>для фізичних осіб - підприємців, які здійснюють господарську діяльність на території Вербської сільської ради, залежно від виду господарської діяльності, з розрахунку на календарний місяць:</w:t>
      </w:r>
    </w:p>
    <w:p w:rsidR="00852F5B" w:rsidRDefault="00852F5B" w:rsidP="00852F5B">
      <w:pPr>
        <w:pStyle w:val="a3"/>
        <w:spacing w:line="276" w:lineRule="auto"/>
        <w:ind w:firstLine="284"/>
        <w:jc w:val="both"/>
        <w:rPr>
          <w:rFonts w:ascii="Times New Roman" w:hAnsi="Times New Roman"/>
          <w:b/>
          <w:sz w:val="28"/>
          <w:szCs w:val="28"/>
        </w:rPr>
      </w:pPr>
      <w:r>
        <w:rPr>
          <w:rFonts w:ascii="Times New Roman" w:hAnsi="Times New Roman"/>
          <w:sz w:val="28"/>
          <w:szCs w:val="28"/>
        </w:rPr>
        <w:t xml:space="preserve">1) для </w:t>
      </w:r>
      <w:r>
        <w:rPr>
          <w:rFonts w:ascii="Times New Roman" w:hAnsi="Times New Roman"/>
          <w:b/>
          <w:sz w:val="28"/>
          <w:szCs w:val="28"/>
        </w:rPr>
        <w:t>першої групи</w:t>
      </w:r>
      <w:r>
        <w:rPr>
          <w:rFonts w:ascii="Times New Roman" w:hAnsi="Times New Roman"/>
          <w:sz w:val="28"/>
          <w:szCs w:val="28"/>
        </w:rPr>
        <w:t xml:space="preserve"> платників єдиного податку – </w:t>
      </w:r>
      <w:r>
        <w:rPr>
          <w:rFonts w:ascii="Times New Roman" w:hAnsi="Times New Roman"/>
          <w:b/>
          <w:sz w:val="28"/>
          <w:szCs w:val="28"/>
        </w:rPr>
        <w:t>10 відсотків розміру прожиткового мінімуму;</w:t>
      </w:r>
    </w:p>
    <w:p w:rsidR="00852F5B" w:rsidRDefault="00852F5B" w:rsidP="00852F5B">
      <w:pPr>
        <w:pStyle w:val="a3"/>
        <w:spacing w:line="276" w:lineRule="auto"/>
        <w:ind w:firstLine="284"/>
        <w:jc w:val="both"/>
        <w:rPr>
          <w:rFonts w:ascii="Times New Roman" w:hAnsi="Times New Roman"/>
          <w:b/>
          <w:bCs/>
          <w:color w:val="000000"/>
          <w:sz w:val="28"/>
          <w:szCs w:val="28"/>
        </w:rPr>
      </w:pPr>
      <w:r>
        <w:rPr>
          <w:rFonts w:ascii="Times New Roman" w:hAnsi="Times New Roman"/>
          <w:sz w:val="28"/>
          <w:szCs w:val="28"/>
        </w:rPr>
        <w:t xml:space="preserve">2) для </w:t>
      </w:r>
      <w:r>
        <w:rPr>
          <w:rFonts w:ascii="Times New Roman" w:hAnsi="Times New Roman"/>
          <w:b/>
          <w:sz w:val="28"/>
          <w:szCs w:val="28"/>
        </w:rPr>
        <w:t>другої групи</w:t>
      </w:r>
      <w:r>
        <w:rPr>
          <w:rFonts w:ascii="Times New Roman" w:hAnsi="Times New Roman"/>
          <w:sz w:val="28"/>
          <w:szCs w:val="28"/>
        </w:rPr>
        <w:t xml:space="preserve"> платників єдиного податку – </w:t>
      </w:r>
      <w:r>
        <w:rPr>
          <w:rFonts w:ascii="Times New Roman" w:hAnsi="Times New Roman"/>
          <w:b/>
          <w:sz w:val="28"/>
          <w:szCs w:val="28"/>
        </w:rPr>
        <w:t>20 відсотків розміру мінімальної заробітної плати.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color w:val="000000"/>
          <w:sz w:val="28"/>
          <w:szCs w:val="28"/>
        </w:rPr>
        <w:t>2.3.3.</w:t>
      </w:r>
      <w:r>
        <w:rPr>
          <w:rFonts w:ascii="Times New Roman" w:hAnsi="Times New Roman"/>
          <w:bCs/>
          <w:color w:val="000000"/>
          <w:sz w:val="28"/>
          <w:szCs w:val="28"/>
        </w:rPr>
        <w:t xml:space="preserve"> </w:t>
      </w:r>
      <w:r>
        <w:rPr>
          <w:rFonts w:ascii="Times New Roman" w:hAnsi="Times New Roman"/>
          <w:sz w:val="28"/>
          <w:szCs w:val="28"/>
        </w:rPr>
        <w:t xml:space="preserve">Відсоткова ставка єдиного податку для платників </w:t>
      </w:r>
      <w:r>
        <w:rPr>
          <w:rFonts w:ascii="Times New Roman" w:hAnsi="Times New Roman"/>
          <w:b/>
          <w:sz w:val="28"/>
          <w:szCs w:val="28"/>
        </w:rPr>
        <w:t>третьої групи</w:t>
      </w:r>
      <w:r>
        <w:rPr>
          <w:rFonts w:ascii="Times New Roman" w:hAnsi="Times New Roman"/>
          <w:sz w:val="28"/>
          <w:szCs w:val="28"/>
        </w:rPr>
        <w:t xml:space="preserve"> встановлюється у розмірі:</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b/>
          <w:sz w:val="28"/>
          <w:szCs w:val="28"/>
        </w:rPr>
        <w:t>3 відсотки доходу</w:t>
      </w:r>
      <w:r>
        <w:rPr>
          <w:rFonts w:ascii="Times New Roman" w:hAnsi="Times New Roman"/>
          <w:sz w:val="28"/>
          <w:szCs w:val="28"/>
        </w:rPr>
        <w:t xml:space="preserve"> - у разі сплати податку на додану вартість згідно з Податковим кодексом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b/>
          <w:sz w:val="28"/>
          <w:szCs w:val="28"/>
        </w:rPr>
        <w:t>5 відсотків доходу</w:t>
      </w:r>
      <w:r>
        <w:rPr>
          <w:rFonts w:ascii="Times New Roman" w:hAnsi="Times New Roman"/>
          <w:sz w:val="28"/>
          <w:szCs w:val="28"/>
        </w:rPr>
        <w:t xml:space="preserve"> - у разі включення податку на додану вартість до складу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пункту 2.3.3 підрозділу 2.3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color w:val="000000"/>
          <w:sz w:val="28"/>
          <w:szCs w:val="28"/>
        </w:rPr>
        <w:t>2.3.4.</w:t>
      </w:r>
      <w:r>
        <w:rPr>
          <w:rFonts w:ascii="Times New Roman" w:hAnsi="Times New Roman"/>
          <w:bCs/>
          <w:color w:val="000000"/>
          <w:sz w:val="28"/>
          <w:szCs w:val="28"/>
        </w:rPr>
        <w:t xml:space="preserve"> </w:t>
      </w:r>
      <w:r>
        <w:rPr>
          <w:rFonts w:ascii="Times New Roman" w:hAnsi="Times New Roman"/>
          <w:sz w:val="28"/>
          <w:szCs w:val="28"/>
        </w:rPr>
        <w:t>Ставка єдиного податку встановлюється для платників єдиного податку першої - третьої групи (фізичні особи - підприємці) у розмірі 15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color w:val="000000"/>
          <w:sz w:val="28"/>
          <w:szCs w:val="28"/>
        </w:rPr>
        <w:t xml:space="preserve">1) до суми перевищення обсягу доходу, визначеного у підпунктах </w:t>
      </w:r>
      <w:r>
        <w:rPr>
          <w:rFonts w:ascii="Times New Roman" w:hAnsi="Times New Roman"/>
          <w:sz w:val="28"/>
          <w:szCs w:val="28"/>
        </w:rPr>
        <w:t>1, 2, 3</w:t>
      </w:r>
      <w:r>
        <w:rPr>
          <w:rFonts w:ascii="Times New Roman" w:hAnsi="Times New Roman"/>
          <w:color w:val="000000"/>
          <w:sz w:val="28"/>
          <w:szCs w:val="28"/>
        </w:rPr>
        <w:t xml:space="preserve"> пункту 2.1.1 підрозділу 2.1 розділу 2 цього Положення</w:t>
      </w:r>
      <w:r>
        <w:rPr>
          <w:rFonts w:ascii="Times New Roman" w:hAnsi="Times New Roman"/>
          <w:bCs/>
          <w:sz w:val="28"/>
          <w:szCs w:val="28"/>
        </w:rPr>
        <w:t>;</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 до доходу, отриманого від провадження діяльності, не зазначеної у реєстрі платників єдиного податку, віднесеного до першої або другої групи;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3) до доходу, отриманого при застосуванні іншого способу розрахунків, ніж зазначений у главі 1 розділу </w:t>
      </w:r>
      <w:r>
        <w:rPr>
          <w:rFonts w:ascii="Times New Roman" w:hAnsi="Times New Roman"/>
          <w:sz w:val="28"/>
          <w:szCs w:val="28"/>
          <w:lang w:val="en-US"/>
        </w:rPr>
        <w:t>X</w:t>
      </w:r>
      <w:r>
        <w:rPr>
          <w:rFonts w:ascii="Times New Roman" w:hAnsi="Times New Roman"/>
          <w:sz w:val="28"/>
          <w:szCs w:val="28"/>
        </w:rPr>
        <w:t>І</w:t>
      </w:r>
      <w:r>
        <w:rPr>
          <w:rFonts w:ascii="Times New Roman" w:hAnsi="Times New Roman"/>
          <w:sz w:val="28"/>
          <w:szCs w:val="28"/>
          <w:lang w:val="en-US"/>
        </w:rPr>
        <w:t>V</w:t>
      </w:r>
      <w:r>
        <w:rPr>
          <w:rFonts w:ascii="Times New Roman" w:hAnsi="Times New Roman"/>
          <w:sz w:val="28"/>
          <w:szCs w:val="28"/>
        </w:rPr>
        <w:t xml:space="preserve">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4) до доходу, отриманого від здійснення видів діяльності, які не дають права застосовувати спрощену систему оподаткування;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5) до доходу, отриманого платниками першої або другої групи від провадження діяльності, яка не передбачена у підпунктах 1 або 2 пункту 2.1.1 підрозділу 2.1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2.3.5.</w:t>
      </w:r>
      <w:r>
        <w:rPr>
          <w:rFonts w:ascii="Times New Roman" w:hAnsi="Times New Roman"/>
          <w:bCs/>
          <w:sz w:val="28"/>
          <w:szCs w:val="28"/>
        </w:rPr>
        <w:t xml:space="preserve"> </w:t>
      </w:r>
      <w:r>
        <w:rPr>
          <w:rFonts w:ascii="Times New Roman" w:hAnsi="Times New Roman"/>
          <w:sz w:val="28"/>
          <w:szCs w:val="28"/>
        </w:rPr>
        <w:t>Ставки єдиного податку для платників третьої групи (юридичні особи) встановлюються у подвійному розмірі ставок, визначених у пункті 2.3.3 підрозділу 2.3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 до суми перевищення обсягу доходу, визначеного у підпункті 3 пункту 2.1.1 підрозділу 2.1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lastRenderedPageBreak/>
        <w:t>2) до доходу, отриманого при застосуванні іншого способу розрахунків, ніж зазначений у підрозділі 2.3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 до доходу, отриманого від здійснення видів діяльності, які не дають права застосовувати спрощену систему оподаткування.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2.3.6.</w:t>
      </w:r>
      <w:r>
        <w:rPr>
          <w:rFonts w:ascii="Times New Roman" w:hAnsi="Times New Roman"/>
          <w:bCs/>
          <w:sz w:val="28"/>
          <w:szCs w:val="28"/>
        </w:rPr>
        <w:t xml:space="preserve">  </w:t>
      </w:r>
      <w:r>
        <w:rPr>
          <w:rFonts w:ascii="Times New Roman" w:hAnsi="Times New Roman"/>
          <w:sz w:val="28"/>
          <w:szCs w:val="28"/>
        </w:rPr>
        <w:t>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2.3.7.</w:t>
      </w:r>
      <w:r>
        <w:rPr>
          <w:rFonts w:ascii="Times New Roman" w:hAnsi="Times New Roman"/>
          <w:bCs/>
          <w:sz w:val="28"/>
          <w:szCs w:val="28"/>
        </w:rPr>
        <w:t xml:space="preserve"> </w:t>
      </w:r>
      <w:r>
        <w:rPr>
          <w:rFonts w:ascii="Times New Roman" w:hAnsi="Times New Roman"/>
          <w:sz w:val="28"/>
          <w:szCs w:val="28"/>
        </w:rPr>
        <w:t>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для відповідної групи таких платників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2.3.8.</w:t>
      </w:r>
      <w:r>
        <w:rPr>
          <w:rFonts w:ascii="Times New Roman" w:hAnsi="Times New Roman"/>
          <w:bCs/>
          <w:sz w:val="28"/>
          <w:szCs w:val="28"/>
        </w:rPr>
        <w:t xml:space="preserve"> </w:t>
      </w:r>
      <w:r>
        <w:rPr>
          <w:rFonts w:ascii="Times New Roman" w:hAnsi="Times New Roman"/>
          <w:sz w:val="28"/>
          <w:szCs w:val="28"/>
        </w:rPr>
        <w:t xml:space="preserve">Ставки, встановлені </w:t>
      </w:r>
      <w:r>
        <w:rPr>
          <w:rFonts w:ascii="Times New Roman" w:hAnsi="Times New Roman"/>
          <w:bCs/>
          <w:sz w:val="28"/>
          <w:szCs w:val="28"/>
        </w:rPr>
        <w:t xml:space="preserve">пунктами 2.3.3 – 2.3.5 </w:t>
      </w:r>
      <w:r>
        <w:rPr>
          <w:rFonts w:ascii="Times New Roman" w:hAnsi="Times New Roman"/>
          <w:sz w:val="28"/>
          <w:szCs w:val="28"/>
        </w:rPr>
        <w:t>підрозділу 2.3 розділу 2 цього Положення застосовуються з урахуванням таких особливостей:</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 платники єдиного податку першої групи, які у календарному кварталі перевищили обсяг доходу, визначений для таких платників у пункті 2.1.1 підрозділу 2.1 розділу 2 цього Положення, з наступного календарного кварталу за заявою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Такі платники до суми перевищення зобов’язані застосувати ставку єдиного податку у розмірі 15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Заява подається не пізніше 20 числа місяця, наступного за календарним кварталом, у якому допущено перевищення обсягу доходу;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 платники єдиного податку другої групи, які перевищили у податковому (звітному) періоді обсяг доходу,  визначений для таких платників у пункті 2.1.1 підрозділу 2.1 розділу 2 цього Положення,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групи, або відмовляються від застосування спрощеної системи оподаткування.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Такі платники до суми перевищення зобов’язані застосувати ставку єдиного податку у розмірі 15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Заява подається не пізніше 20 числа місяця, наступного за календарним кварталом, у якому допущено перевищення обсягу доходу;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3) платники єдиного податку третьої групи (фізичні особи - підприємці), які перевищили у податковому (звітному) періоді обсяг доходу, визначений для таких платників у пункті 2.1.1 підрозділу 2.1 розділу 2 цього Положення, </w:t>
      </w:r>
      <w:r>
        <w:rPr>
          <w:rFonts w:ascii="Times New Roman" w:hAnsi="Times New Roman"/>
          <w:sz w:val="28"/>
          <w:szCs w:val="28"/>
        </w:rPr>
        <w:lastRenderedPageBreak/>
        <w:t xml:space="preserve">до суми перевищення застосовують ставку єдиного податку у розмірі 15 відсотків, а також зобов’язані у порядку, встановленому главою 1 розділу </w:t>
      </w:r>
      <w:r>
        <w:rPr>
          <w:rFonts w:ascii="Times New Roman" w:hAnsi="Times New Roman"/>
          <w:sz w:val="28"/>
          <w:szCs w:val="28"/>
          <w:lang w:val="en-US"/>
        </w:rPr>
        <w:t>X</w:t>
      </w:r>
      <w:r>
        <w:rPr>
          <w:rFonts w:ascii="Times New Roman" w:hAnsi="Times New Roman"/>
          <w:sz w:val="28"/>
          <w:szCs w:val="28"/>
        </w:rPr>
        <w:t>І</w:t>
      </w:r>
      <w:r>
        <w:rPr>
          <w:rFonts w:ascii="Times New Roman" w:hAnsi="Times New Roman"/>
          <w:sz w:val="28"/>
          <w:szCs w:val="28"/>
          <w:lang w:val="en-US"/>
        </w:rPr>
        <w:t>V</w:t>
      </w:r>
      <w:r>
        <w:rPr>
          <w:rFonts w:ascii="Times New Roman" w:hAnsi="Times New Roman"/>
          <w:sz w:val="28"/>
          <w:szCs w:val="28"/>
        </w:rPr>
        <w:t xml:space="preserve"> Податкового кодексу України, перейти на сплату інших податків і зборів, встановлених Податковим кодексом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Платники єдиного податку третьої групи (юридичні особи), які перевищили у податковому (звітному) періоді обсяг доходу, визначений для таких платників у пункті 2.1.1 підрозділу 2.1 розділу 2 цього Положення, до суми перевищення застосовують ставку єдиного податку у подвійному розмірі ставок, визначених у пункті 2.3.3 підрозділу 2.3 розділу 2 цього Положення, а також зобов’язані у порядку, встановленому главою 1 розділу </w:t>
      </w:r>
      <w:r>
        <w:rPr>
          <w:rFonts w:ascii="Times New Roman" w:hAnsi="Times New Roman"/>
          <w:sz w:val="28"/>
          <w:szCs w:val="28"/>
          <w:lang w:val="en-US"/>
        </w:rPr>
        <w:t>X</w:t>
      </w:r>
      <w:r>
        <w:rPr>
          <w:rFonts w:ascii="Times New Roman" w:hAnsi="Times New Roman"/>
          <w:sz w:val="28"/>
          <w:szCs w:val="28"/>
        </w:rPr>
        <w:t>І</w:t>
      </w:r>
      <w:r>
        <w:rPr>
          <w:rFonts w:ascii="Times New Roman" w:hAnsi="Times New Roman"/>
          <w:sz w:val="28"/>
          <w:szCs w:val="28"/>
          <w:lang w:val="en-US"/>
        </w:rPr>
        <w:t>V</w:t>
      </w:r>
      <w:r>
        <w:rPr>
          <w:rFonts w:ascii="Times New Roman" w:hAnsi="Times New Roman"/>
          <w:sz w:val="28"/>
          <w:szCs w:val="28"/>
        </w:rPr>
        <w:t xml:space="preserve"> Податкового кодексу України, перейти на сплату інших податків і зборів, встановлених Податковим кодексом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Заява подається не пізніше 20 числа місяця, наступного за календарним кварталом, у якому допущено перевищення обсягу доходу.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4) ставка єдиного податку, визначена для третьої групи у розмірі 3 відсотки, може бути обрана:</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а) суб’єктом господарювання, який зареєстрований платником податку на додану вартість відповідно до розділу </w:t>
      </w:r>
      <w:r>
        <w:rPr>
          <w:rFonts w:ascii="Times New Roman" w:hAnsi="Times New Roman"/>
          <w:sz w:val="28"/>
          <w:szCs w:val="28"/>
          <w:lang w:val="en-US"/>
        </w:rPr>
        <w:t>V</w:t>
      </w:r>
      <w:r>
        <w:rPr>
          <w:rFonts w:ascii="Times New Roman" w:hAnsi="Times New Roman"/>
          <w:sz w:val="28"/>
          <w:szCs w:val="28"/>
        </w:rPr>
        <w:t xml:space="preserve"> Податкового кодексу України,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б) платником єдиного податку третьої групи, який обрав ставку єдиного податку в розмірі 5 відсотків,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у порядку, встановленому розділом V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в) суб’єктом господарювання, який не зареєстрований платником податку на додану вартість, у разі його переходу на спрощену систему оподаткування або зміни групи платників єдиного податку шляхом реєстрації платником податку на додану вартість відповідно до розділу </w:t>
      </w:r>
      <w:r>
        <w:rPr>
          <w:rFonts w:ascii="Times New Roman" w:hAnsi="Times New Roman"/>
          <w:sz w:val="28"/>
          <w:szCs w:val="28"/>
          <w:lang w:val="en-US"/>
        </w:rPr>
        <w:t>V</w:t>
      </w:r>
      <w:r>
        <w:rPr>
          <w:rFonts w:ascii="Times New Roman" w:hAnsi="Times New Roman"/>
          <w:sz w:val="28"/>
          <w:szCs w:val="28"/>
        </w:rPr>
        <w:t xml:space="preserve"> Податкового кодексу України і подання заяви щодо переходу на спрощену систему оподаткування не пізніше ніж за 15 календарних днів до початку наступного календарного кварталу,  в якому здійснено реєстрацію платником податку на додану вартість;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5) у разі анулювання реєстрації платника податку на додану вартість у порядку, встановленому розділом V Податкового кодексу України, платники єдиного податку зобов’язані перейти на сплату єдиного податку за ставкою у </w:t>
      </w:r>
      <w:r>
        <w:rPr>
          <w:rFonts w:ascii="Times New Roman" w:hAnsi="Times New Roman"/>
          <w:sz w:val="28"/>
          <w:szCs w:val="28"/>
        </w:rPr>
        <w:lastRenderedPageBreak/>
        <w:t>розмірі 5 відсотків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2.3.9.</w:t>
      </w:r>
      <w:r>
        <w:rPr>
          <w:rFonts w:ascii="Times New Roman" w:hAnsi="Times New Roman"/>
          <w:sz w:val="28"/>
          <w:szCs w:val="28"/>
        </w:rPr>
        <w:t xml:space="preserve">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2.3.9.1.</w:t>
      </w:r>
      <w:r>
        <w:rPr>
          <w:rFonts w:ascii="Times New Roman" w:hAnsi="Times New Roman"/>
          <w:sz w:val="28"/>
          <w:szCs w:val="28"/>
        </w:rPr>
        <w:t xml:space="preserve"> для ріллі, сіножатей і пасовищ (крім ріллі, сіножатей і пасовищ, розташованих у гірських зонах та на поліських територіях, а також сільськогосподарських угідь, що перебувають в умовах закритого ґрунту) – 0,95;</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2.3.9.2.</w:t>
      </w:r>
      <w:r>
        <w:rPr>
          <w:rFonts w:ascii="Times New Roman" w:hAnsi="Times New Roman"/>
          <w:sz w:val="28"/>
          <w:szCs w:val="28"/>
        </w:rPr>
        <w:t xml:space="preserve"> для ріллі, сіножатей і пасовищ, розташованих у гірських зонах та на поліських територіях – 0,57;</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2.3.9.3.</w:t>
      </w:r>
      <w:r>
        <w:rPr>
          <w:rFonts w:ascii="Times New Roman" w:hAnsi="Times New Roman"/>
          <w:sz w:val="28"/>
          <w:szCs w:val="28"/>
        </w:rPr>
        <w:t xml:space="preserve"> для багаторічних насаджень (крім багаторічних насаджень, розташованих у гірських зонах та на поліських територіях) – 0,57;</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2.3.9.4.</w:t>
      </w:r>
      <w:r>
        <w:rPr>
          <w:rFonts w:ascii="Times New Roman" w:hAnsi="Times New Roman"/>
          <w:sz w:val="28"/>
          <w:szCs w:val="28"/>
        </w:rPr>
        <w:t xml:space="preserve"> для багаторічних насаджень, розташованих у гірських зонах та на поліських територіях - 0,19;</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 xml:space="preserve">2.3.9.5. </w:t>
      </w:r>
      <w:r>
        <w:rPr>
          <w:rFonts w:ascii="Times New Roman" w:hAnsi="Times New Roman"/>
          <w:sz w:val="28"/>
          <w:szCs w:val="28"/>
        </w:rPr>
        <w:t>для земель водного фонду – 2,43;</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2.3.9.6.</w:t>
      </w:r>
      <w:r>
        <w:rPr>
          <w:rFonts w:ascii="Times New Roman" w:hAnsi="Times New Roman"/>
          <w:sz w:val="28"/>
          <w:szCs w:val="28"/>
        </w:rPr>
        <w:t xml:space="preserve"> для сільськогосподарських угідь, що перебувають в умовах закритого ґрунту – 6,33.</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Перелік гірських зон та поліських територій визначається Кабінетом Міністрів України. </w:t>
      </w:r>
    </w:p>
    <w:p w:rsidR="00852F5B" w:rsidRDefault="00852F5B" w:rsidP="00852F5B">
      <w:pPr>
        <w:pStyle w:val="StyleZakonu0"/>
        <w:spacing w:after="240" w:line="240" w:lineRule="auto"/>
        <w:ind w:firstLine="709"/>
        <w:rPr>
          <w:rFonts w:ascii="Times New Roman" w:hAnsi="Times New Roman" w:cs="Times New Roman"/>
          <w:bCs/>
          <w:i/>
          <w:iCs/>
          <w:color w:val="3366FF"/>
          <w:sz w:val="28"/>
          <w:szCs w:val="28"/>
        </w:rPr>
      </w:pPr>
      <w:r>
        <w:rPr>
          <w:rFonts w:ascii="Times New Roman" w:hAnsi="Times New Roman" w:cs="Times New Roman"/>
          <w:b/>
          <w:bCs/>
          <w:sz w:val="28"/>
          <w:szCs w:val="28"/>
        </w:rPr>
        <w:t>2.4. Податковий (звітний) період</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2.4.1.</w:t>
      </w:r>
      <w:r>
        <w:rPr>
          <w:rFonts w:ascii="Times New Roman" w:hAnsi="Times New Roman"/>
          <w:bCs/>
          <w:sz w:val="28"/>
          <w:szCs w:val="28"/>
        </w:rPr>
        <w:t xml:space="preserve"> </w:t>
      </w:r>
      <w:r>
        <w:rPr>
          <w:rFonts w:ascii="Times New Roman" w:hAnsi="Times New Roman"/>
          <w:sz w:val="28"/>
          <w:szCs w:val="28"/>
        </w:rPr>
        <w:t>Податковим (звітним) періодом для платників єдиного податку першої, другої та четвертої груп є календарний рік.</w:t>
      </w:r>
      <w:r>
        <w:rPr>
          <w:rFonts w:ascii="Times New Roman" w:hAnsi="Times New Roman"/>
          <w:sz w:val="28"/>
          <w:szCs w:val="28"/>
        </w:rPr>
        <w:tab/>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Податковим (звітним) періодом для платників єдиного податку третьої групи є календарний квартал.</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2.4.2.</w:t>
      </w:r>
      <w:r>
        <w:rPr>
          <w:rFonts w:ascii="Times New Roman" w:hAnsi="Times New Roman"/>
          <w:bCs/>
          <w:sz w:val="28"/>
          <w:szCs w:val="28"/>
        </w:rPr>
        <w:t xml:space="preserve"> </w:t>
      </w:r>
      <w:r>
        <w:rPr>
          <w:rFonts w:ascii="Times New Roman" w:hAnsi="Times New Roman"/>
          <w:sz w:val="28"/>
          <w:szCs w:val="28"/>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Попередній податковий (звітний) рік для новоутворених сільськогосподарських товаровиробників – юридичних осіб - період з дня державної реєстрації до 31 грудня того ж року.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lastRenderedPageBreak/>
        <w:t>Податковий (звітний) період для сільськогосподарських товаровиробників – юридичних осіб, що ліквідуються, - період з початку року до їх фактичного припинення.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2.4.3.</w:t>
      </w:r>
      <w:r>
        <w:rPr>
          <w:rFonts w:ascii="Times New Roman" w:hAnsi="Times New Roman"/>
          <w:bCs/>
          <w:sz w:val="28"/>
          <w:szCs w:val="28"/>
        </w:rPr>
        <w:t xml:space="preserve"> </w:t>
      </w:r>
      <w:r>
        <w:rPr>
          <w:rFonts w:ascii="Times New Roman" w:hAnsi="Times New Roman"/>
          <w:sz w:val="28"/>
          <w:szCs w:val="28"/>
        </w:rPr>
        <w:t>Для суб’єктів господарювання, які перейшли на сплату єдиного податку із сплати інших податків і зборів, встановлених Податковим кодексом України,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2.4.4.</w:t>
      </w:r>
      <w:r>
        <w:rPr>
          <w:rFonts w:ascii="Times New Roman" w:hAnsi="Times New Roman"/>
          <w:bCs/>
          <w:sz w:val="28"/>
          <w:szCs w:val="28"/>
        </w:rPr>
        <w:t xml:space="preserve"> </w:t>
      </w:r>
      <w:r>
        <w:rPr>
          <w:rFonts w:ascii="Times New Roman" w:hAnsi="Times New Roman"/>
          <w:sz w:val="28"/>
          <w:szCs w:val="28"/>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а також четвертої групи (фізичні особи), перший податковий (звітний) період починається з першого числа місяця, в якому відбулася державна реєстрація. </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2.4.5</w:t>
      </w:r>
      <w:r>
        <w:rPr>
          <w:rFonts w:ascii="Times New Roman" w:hAnsi="Times New Roman"/>
          <w:b/>
          <w:sz w:val="28"/>
          <w:szCs w:val="28"/>
        </w:rPr>
        <w:t>.</w:t>
      </w:r>
      <w:r>
        <w:rPr>
          <w:rFonts w:ascii="Times New Roman" w:hAnsi="Times New Roman"/>
          <w:sz w:val="28"/>
          <w:szCs w:val="28"/>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2.4.6.</w:t>
      </w:r>
      <w:r>
        <w:rPr>
          <w:rFonts w:ascii="Times New Roman" w:hAnsi="Times New Roman"/>
          <w:bCs/>
          <w:sz w:val="28"/>
          <w:szCs w:val="28"/>
        </w:rPr>
        <w:t xml:space="preserve"> </w:t>
      </w:r>
      <w:r>
        <w:rPr>
          <w:rFonts w:ascii="Times New Roman" w:hAnsi="Times New Roman"/>
          <w:sz w:val="28"/>
          <w:szCs w:val="28"/>
        </w:rPr>
        <w:t xml:space="preserve">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 </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2.4.7.</w:t>
      </w:r>
      <w:r>
        <w:rPr>
          <w:rFonts w:ascii="Times New Roman" w:hAnsi="Times New Roman"/>
          <w:bCs/>
          <w:sz w:val="28"/>
          <w:szCs w:val="28"/>
        </w:rPr>
        <w:t xml:space="preserve"> </w:t>
      </w:r>
      <w:r>
        <w:rPr>
          <w:rFonts w:ascii="Times New Roman" w:hAnsi="Times New Roman"/>
          <w:sz w:val="28"/>
          <w:szCs w:val="28"/>
        </w:rPr>
        <w:t>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852F5B" w:rsidRDefault="00852F5B" w:rsidP="00852F5B">
      <w:pPr>
        <w:spacing w:after="240"/>
        <w:ind w:firstLine="709"/>
        <w:rPr>
          <w:b/>
          <w:sz w:val="28"/>
          <w:szCs w:val="28"/>
        </w:rPr>
      </w:pPr>
      <w:r>
        <w:rPr>
          <w:b/>
          <w:sz w:val="28"/>
          <w:szCs w:val="28"/>
        </w:rPr>
        <w:t>2.5. Порядок нарахування та строки сплати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lastRenderedPageBreak/>
        <w:t>2.5.1.</w:t>
      </w:r>
      <w:r>
        <w:rPr>
          <w:rFonts w:ascii="Times New Roman" w:hAnsi="Times New Roman"/>
          <w:sz w:val="28"/>
          <w:szCs w:val="28"/>
        </w:rPr>
        <w:t xml:space="preserve">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852F5B" w:rsidRDefault="00852F5B" w:rsidP="00852F5B">
      <w:pPr>
        <w:pStyle w:val="a3"/>
        <w:spacing w:line="276" w:lineRule="auto"/>
        <w:ind w:firstLine="284"/>
        <w:jc w:val="both"/>
        <w:rPr>
          <w:rStyle w:val="FontStyle84"/>
          <w:rFonts w:ascii="Times New Roman" w:hAnsi="Times New Roman"/>
          <w:sz w:val="28"/>
          <w:szCs w:val="28"/>
        </w:rPr>
      </w:pPr>
      <w:r>
        <w:rPr>
          <w:rFonts w:ascii="Times New Roman" w:hAnsi="Times New Roman"/>
          <w:sz w:val="28"/>
          <w:szCs w:val="28"/>
        </w:rPr>
        <w:t>У разі якщо Вербська сільська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підпунктом 12.3.4 пункту 12.3 статті 12 Податкового кодексу України.</w:t>
      </w:r>
    </w:p>
    <w:p w:rsidR="00852F5B" w:rsidRDefault="00852F5B" w:rsidP="00852F5B">
      <w:pPr>
        <w:pStyle w:val="a3"/>
        <w:spacing w:line="276" w:lineRule="auto"/>
        <w:ind w:firstLine="284"/>
        <w:jc w:val="both"/>
        <w:rPr>
          <w:rStyle w:val="FontStyle84"/>
          <w:rFonts w:ascii="Times New Roman" w:hAnsi="Times New Roman"/>
          <w:sz w:val="28"/>
          <w:szCs w:val="28"/>
          <w:lang w:eastAsia="uk-UA"/>
        </w:rPr>
      </w:pPr>
      <w:r>
        <w:rPr>
          <w:rStyle w:val="FontStyle84"/>
          <w:rFonts w:ascii="Times New Roman" w:hAnsi="Times New Roman"/>
          <w:b/>
          <w:sz w:val="28"/>
          <w:szCs w:val="28"/>
          <w:lang w:eastAsia="uk-UA"/>
        </w:rPr>
        <w:t>2.5.2.</w:t>
      </w:r>
      <w:r>
        <w:rPr>
          <w:rStyle w:val="FontStyle84"/>
          <w:rFonts w:ascii="Times New Roman" w:hAnsi="Times New Roman"/>
          <w:sz w:val="28"/>
          <w:szCs w:val="28"/>
          <w:lang w:eastAsia="uk-UA"/>
        </w:rPr>
        <w:t xml:space="preserve"> </w:t>
      </w:r>
      <w:r>
        <w:rPr>
          <w:rStyle w:val="FontStyle84"/>
          <w:rFonts w:ascii="Times New Roman" w:hAnsi="Times New Roman"/>
          <w:bCs/>
          <w:sz w:val="28"/>
          <w:szCs w:val="28"/>
          <w:lang w:eastAsia="uk-UA"/>
        </w:rPr>
        <w:t>На</w:t>
      </w:r>
      <w:r>
        <w:rPr>
          <w:rStyle w:val="FontStyle84"/>
          <w:rFonts w:ascii="Times New Roman" w:hAnsi="Times New Roman"/>
          <w:sz w:val="28"/>
          <w:szCs w:val="28"/>
          <w:lang w:eastAsia="uk-UA"/>
        </w:rPr>
        <w:t>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852F5B" w:rsidRDefault="00852F5B" w:rsidP="00852F5B">
      <w:pPr>
        <w:pStyle w:val="a3"/>
        <w:spacing w:line="276" w:lineRule="auto"/>
        <w:ind w:firstLine="284"/>
        <w:jc w:val="both"/>
        <w:rPr>
          <w:lang w:eastAsia="ru-RU"/>
        </w:rPr>
      </w:pPr>
      <w:r>
        <w:rPr>
          <w:rStyle w:val="FontStyle84"/>
          <w:rFonts w:ascii="Times New Roman" w:hAnsi="Times New Roman"/>
          <w:b/>
          <w:bCs/>
          <w:sz w:val="28"/>
          <w:szCs w:val="28"/>
          <w:lang w:eastAsia="uk-UA"/>
        </w:rPr>
        <w:t xml:space="preserve">2.5.3. </w:t>
      </w:r>
      <w:r>
        <w:rPr>
          <w:rFonts w:ascii="Times New Roman" w:hAnsi="Times New Roman"/>
          <w:sz w:val="28"/>
          <w:szCs w:val="28"/>
        </w:rPr>
        <w:t>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2.5.4.</w:t>
      </w:r>
      <w:r>
        <w:rPr>
          <w:rFonts w:ascii="Times New Roman" w:hAnsi="Times New Roman"/>
          <w:sz w:val="28"/>
          <w:szCs w:val="28"/>
        </w:rPr>
        <w:t xml:space="preserve"> </w:t>
      </w:r>
      <w:r>
        <w:rPr>
          <w:rFonts w:ascii="Times New Roman" w:hAnsi="Times New Roman"/>
          <w:color w:val="000000"/>
          <w:sz w:val="28"/>
          <w:szCs w:val="28"/>
        </w:rPr>
        <w:t xml:space="preserve">Сплата єдиного податку </w:t>
      </w:r>
      <w:r>
        <w:rPr>
          <w:rFonts w:ascii="Times New Roman" w:hAnsi="Times New Roman"/>
          <w:sz w:val="28"/>
          <w:szCs w:val="28"/>
        </w:rPr>
        <w:t>платниками першої - третьої груп здійснюється за місцем податкової адреси.</w:t>
      </w:r>
    </w:p>
    <w:p w:rsidR="00852F5B" w:rsidRDefault="00852F5B" w:rsidP="00852F5B">
      <w:pPr>
        <w:pStyle w:val="a3"/>
        <w:spacing w:line="276" w:lineRule="auto"/>
        <w:ind w:firstLine="284"/>
        <w:jc w:val="both"/>
        <w:rPr>
          <w:rFonts w:ascii="Times New Roman" w:hAnsi="Times New Roman"/>
          <w:color w:val="000000"/>
          <w:sz w:val="28"/>
          <w:szCs w:val="28"/>
        </w:rPr>
      </w:pPr>
      <w:r>
        <w:rPr>
          <w:rFonts w:ascii="Times New Roman" w:hAnsi="Times New Roman"/>
          <w:b/>
          <w:color w:val="000000"/>
          <w:sz w:val="28"/>
          <w:szCs w:val="28"/>
        </w:rPr>
        <w:t>2.5.5.</w:t>
      </w:r>
      <w:r>
        <w:rPr>
          <w:rFonts w:ascii="Times New Roman" w:hAnsi="Times New Roman"/>
          <w:color w:val="000000"/>
          <w:sz w:val="28"/>
          <w:szCs w:val="28"/>
        </w:rPr>
        <w:t xml:space="preserve"> </w:t>
      </w:r>
      <w:r>
        <w:rPr>
          <w:rFonts w:ascii="Times New Roman" w:hAnsi="Times New Roman"/>
          <w:sz w:val="28"/>
          <w:szCs w:val="28"/>
        </w:rPr>
        <w:t>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color w:val="000000"/>
          <w:sz w:val="28"/>
          <w:szCs w:val="28"/>
        </w:rPr>
        <w:t>2.5.6.</w:t>
      </w:r>
      <w:r>
        <w:rPr>
          <w:rFonts w:ascii="Times New Roman" w:hAnsi="Times New Roman"/>
          <w:color w:val="000000"/>
          <w:sz w:val="28"/>
          <w:szCs w:val="28"/>
        </w:rPr>
        <w:t xml:space="preserve"> </w:t>
      </w:r>
      <w:r>
        <w:rPr>
          <w:rFonts w:ascii="Times New Roman" w:hAnsi="Times New Roman"/>
          <w:sz w:val="28"/>
          <w:szCs w:val="28"/>
        </w:rPr>
        <w:t xml:space="preserve">Суми єдиного податку, сплачені відповідно до </w:t>
      </w:r>
      <w:hyperlink r:id="rId7" w:anchor="n7145" w:history="1">
        <w:r>
          <w:rPr>
            <w:rStyle w:val="a6"/>
            <w:rFonts w:ascii="Times New Roman" w:hAnsi="Times New Roman"/>
            <w:sz w:val="28"/>
            <w:szCs w:val="28"/>
          </w:rPr>
          <w:t>абзацу другого пункту 2.5.1</w:t>
        </w:r>
      </w:hyperlink>
      <w:r>
        <w:rPr>
          <w:rFonts w:ascii="Times New Roman" w:hAnsi="Times New Roman"/>
          <w:sz w:val="28"/>
          <w:szCs w:val="28"/>
        </w:rPr>
        <w:t xml:space="preserve"> та пункту 2.5.5 підрозділу 2.5 розділу 2 цього Положення, підлягають зарахуванню в рахунок майбутніх платежів з цього податку за заявою платника єдиного податку.</w:t>
      </w:r>
    </w:p>
    <w:p w:rsidR="00852F5B" w:rsidRDefault="00852F5B" w:rsidP="00852F5B">
      <w:pPr>
        <w:pStyle w:val="a3"/>
        <w:spacing w:line="276" w:lineRule="auto"/>
        <w:ind w:firstLine="284"/>
        <w:jc w:val="both"/>
        <w:rPr>
          <w:rFonts w:ascii="Times New Roman" w:hAnsi="Times New Roman"/>
          <w:sz w:val="28"/>
          <w:szCs w:val="28"/>
        </w:rPr>
      </w:pPr>
      <w:bookmarkStart w:id="14" w:name="n7155"/>
      <w:bookmarkEnd w:id="14"/>
      <w:r>
        <w:rPr>
          <w:rFonts w:ascii="Times New Roman" w:hAnsi="Times New Roman"/>
          <w:sz w:val="28"/>
          <w:szCs w:val="28"/>
        </w:rPr>
        <w:t>Помилково та/або надміру сплачені суми єдиного податку підлягають поверненню платнику в порядку, встановленому Податковим кодексом України.</w:t>
      </w:r>
    </w:p>
    <w:p w:rsidR="00852F5B" w:rsidRDefault="00852F5B" w:rsidP="00852F5B">
      <w:pPr>
        <w:pStyle w:val="a3"/>
        <w:spacing w:line="276" w:lineRule="auto"/>
        <w:ind w:firstLine="284"/>
        <w:jc w:val="both"/>
        <w:rPr>
          <w:rFonts w:ascii="Times New Roman" w:hAnsi="Times New Roman"/>
          <w:color w:val="000000"/>
          <w:sz w:val="28"/>
          <w:szCs w:val="28"/>
        </w:rPr>
      </w:pPr>
      <w:r>
        <w:rPr>
          <w:rFonts w:ascii="Times New Roman" w:hAnsi="Times New Roman"/>
          <w:b/>
          <w:color w:val="000000"/>
          <w:sz w:val="28"/>
          <w:szCs w:val="28"/>
        </w:rPr>
        <w:t>2.5.7.</w:t>
      </w:r>
      <w:r>
        <w:rPr>
          <w:rFonts w:ascii="Times New Roman" w:hAnsi="Times New Roman"/>
          <w:color w:val="000000"/>
          <w:sz w:val="28"/>
          <w:szCs w:val="28"/>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color w:val="000000"/>
          <w:sz w:val="28"/>
          <w:szCs w:val="28"/>
        </w:rPr>
        <w:t>2.5.8.</w:t>
      </w:r>
      <w:r>
        <w:rPr>
          <w:rFonts w:ascii="Times New Roman" w:hAnsi="Times New Roman"/>
          <w:color w:val="000000"/>
          <w:sz w:val="28"/>
          <w:szCs w:val="28"/>
        </w:rPr>
        <w:t xml:space="preserve"> </w:t>
      </w:r>
      <w:r>
        <w:rPr>
          <w:rFonts w:ascii="Times New Roman" w:hAnsi="Times New Roman"/>
          <w:sz w:val="28"/>
          <w:szCs w:val="28"/>
        </w:rPr>
        <w:t xml:space="preserve">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w:t>
      </w:r>
      <w:r>
        <w:rPr>
          <w:rFonts w:ascii="Times New Roman" w:hAnsi="Times New Roman"/>
          <w:sz w:val="28"/>
          <w:szCs w:val="28"/>
        </w:rPr>
        <w:lastRenderedPageBreak/>
        <w:t xml:space="preserve">на підставі отриманого від державного реєстратора повідомлення про проведення державної реєстрації припинення підприємницької діяльності. </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w:t>
      </w:r>
      <w:r>
        <w:rPr>
          <w:rFonts w:ascii="Times New Roman" w:hAnsi="Times New Roman"/>
          <w:sz w:val="28"/>
          <w:szCs w:val="28"/>
        </w:rPr>
        <w:t xml:space="preserve"> Платники єдиного податку четвертої групи: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2.5.9.1.</w:t>
      </w:r>
      <w:r>
        <w:rPr>
          <w:rFonts w:ascii="Times New Roman" w:hAnsi="Times New Roman"/>
          <w:sz w:val="28"/>
          <w:szCs w:val="28"/>
        </w:rPr>
        <w:t xml:space="preserve">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2.5.9.2</w:t>
      </w:r>
      <w:r>
        <w:rPr>
          <w:rFonts w:ascii="Times New Roman" w:hAnsi="Times New Roman"/>
          <w:sz w:val="28"/>
          <w:szCs w:val="28"/>
        </w:rPr>
        <w:t>. 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у І кварталі – 10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у ІІ кварталі – 10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у ІІІ кварталі – 50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у І</w:t>
      </w:r>
      <w:r>
        <w:rPr>
          <w:rFonts w:ascii="Times New Roman" w:hAnsi="Times New Roman"/>
          <w:sz w:val="28"/>
          <w:szCs w:val="28"/>
          <w:lang w:val="en-US"/>
        </w:rPr>
        <w:t>V</w:t>
      </w:r>
      <w:r>
        <w:rPr>
          <w:rFonts w:ascii="Times New Roman" w:hAnsi="Times New Roman"/>
          <w:sz w:val="28"/>
          <w:szCs w:val="28"/>
        </w:rPr>
        <w:t xml:space="preserve"> кварталі – 30 відсотків;</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2.5.9.3.</w:t>
      </w:r>
      <w:r>
        <w:rPr>
          <w:rFonts w:ascii="Times New Roman" w:hAnsi="Times New Roman"/>
          <w:sz w:val="28"/>
          <w:szCs w:val="28"/>
        </w:rPr>
        <w:t xml:space="preserve"> фізичні особи – підприємці, які у звітному періоді обрали спрощену систему оподаткування та ставку єдиного податку, встановлену для четвертої групи, або перейшли на застосування ставки єдиного податку, встановленої для четвертої групи, та юридичні особи, 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таке обрання/перехід, в якому відбулося утворення (виникнення права на земельну ділянку), а надалі – у порядку, визначеному пунктом 2.5.9.2 цього підрозділу;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2.5.9.4.</w:t>
      </w:r>
      <w:r>
        <w:rPr>
          <w:rFonts w:ascii="Times New Roman" w:hAnsi="Times New Roman"/>
          <w:sz w:val="28"/>
          <w:szCs w:val="28"/>
        </w:rPr>
        <w:t xml:space="preserve"> 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2.5.9.5.</w:t>
      </w:r>
      <w:r>
        <w:rPr>
          <w:rFonts w:ascii="Times New Roman" w:hAnsi="Times New Roman"/>
          <w:sz w:val="28"/>
          <w:szCs w:val="28"/>
        </w:rPr>
        <w:t xml:space="preserve"> 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2.5.9.6.</w:t>
      </w:r>
      <w:r>
        <w:rPr>
          <w:rFonts w:ascii="Times New Roman" w:hAnsi="Times New Roman"/>
          <w:sz w:val="28"/>
          <w:szCs w:val="28"/>
        </w:rPr>
        <w:t xml:space="preserve"> 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2.5.9.7.</w:t>
      </w:r>
      <w:r>
        <w:rPr>
          <w:rFonts w:ascii="Times New Roman" w:hAnsi="Times New Roman"/>
          <w:sz w:val="28"/>
          <w:szCs w:val="28"/>
        </w:rPr>
        <w:t xml:space="preserve"> 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2.5.9.8.</w:t>
      </w:r>
      <w:r>
        <w:rPr>
          <w:rFonts w:ascii="Times New Roman" w:hAnsi="Times New Roman"/>
          <w:sz w:val="28"/>
          <w:szCs w:val="28"/>
        </w:rPr>
        <w:t xml:space="preserve"> перераховують в установлений строк загальну суму коштів на відповідний рахунок місцевого бюджету за місцем розташування земельної ділянки.</w:t>
      </w:r>
    </w:p>
    <w:p w:rsidR="00852F5B" w:rsidRDefault="00852F5B" w:rsidP="00852F5B">
      <w:pPr>
        <w:spacing w:after="240"/>
        <w:ind w:firstLine="709"/>
        <w:rPr>
          <w:b/>
          <w:sz w:val="28"/>
          <w:szCs w:val="28"/>
        </w:rPr>
      </w:pPr>
      <w:r>
        <w:rPr>
          <w:b/>
          <w:bCs/>
          <w:sz w:val="28"/>
          <w:szCs w:val="28"/>
        </w:rPr>
        <w:t xml:space="preserve">2.6. Ведення обліку </w:t>
      </w:r>
      <w:r>
        <w:rPr>
          <w:b/>
          <w:sz w:val="28"/>
          <w:szCs w:val="28"/>
        </w:rPr>
        <w:t>і складення звітності платниками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2.6.1.</w:t>
      </w:r>
      <w:r>
        <w:rPr>
          <w:rFonts w:ascii="Times New Roman" w:hAnsi="Times New Roman"/>
          <w:bCs/>
          <w:sz w:val="28"/>
          <w:szCs w:val="28"/>
        </w:rPr>
        <w:t xml:space="preserve"> </w:t>
      </w:r>
      <w:r>
        <w:rPr>
          <w:rFonts w:ascii="Times New Roman" w:hAnsi="Times New Roman"/>
          <w:sz w:val="28"/>
          <w:szCs w:val="28"/>
        </w:rPr>
        <w:t>Платники єдиного податку першої - третьої груп ведуть облік у порядку, визначеному підпунктами 2.6.1.1 – 2.6.1.3 пункту 2.6.1 підрозділу 2.6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2.6.1.1.</w:t>
      </w:r>
      <w:r>
        <w:rPr>
          <w:rFonts w:ascii="Times New Roman" w:hAnsi="Times New Roman"/>
          <w:sz w:val="28"/>
          <w:szCs w:val="28"/>
        </w:rPr>
        <w:t xml:space="preserve">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852F5B" w:rsidRDefault="00852F5B" w:rsidP="00852F5B">
      <w:pPr>
        <w:pStyle w:val="a3"/>
        <w:spacing w:line="276" w:lineRule="auto"/>
        <w:ind w:firstLine="284"/>
        <w:jc w:val="both"/>
        <w:rPr>
          <w:rFonts w:ascii="Times New Roman" w:hAnsi="Times New Roman"/>
          <w:color w:val="000000"/>
          <w:sz w:val="28"/>
          <w:szCs w:val="28"/>
        </w:rPr>
      </w:pPr>
      <w:r>
        <w:rPr>
          <w:rFonts w:ascii="Times New Roman" w:hAnsi="Times New Roman"/>
          <w:sz w:val="28"/>
          <w:szCs w:val="28"/>
        </w:rPr>
        <w:t xml:space="preserve">Форма книги обліку доходів, порядок її ведення затверджуються центральним органом виконавчої влади, що забезпечує формування та реалізує державну фінансову політику. </w:t>
      </w:r>
      <w:r>
        <w:rPr>
          <w:rFonts w:ascii="Times New Roman" w:hAnsi="Times New Roman"/>
          <w:color w:val="000000"/>
          <w:sz w:val="28"/>
          <w:szCs w:val="28"/>
        </w:rPr>
        <w:t>Для реєстрації Книги обліку доходів такі платники єдиного податку подають до контролюючого органу за місцем обліку примірник Книги, у разі обрання способу ведення Книги у паперовому вигляді.</w:t>
      </w:r>
    </w:p>
    <w:p w:rsidR="00852F5B" w:rsidRDefault="00852F5B" w:rsidP="00852F5B">
      <w:pPr>
        <w:pStyle w:val="a3"/>
        <w:spacing w:line="276" w:lineRule="auto"/>
        <w:ind w:firstLine="284"/>
        <w:jc w:val="both"/>
        <w:rPr>
          <w:rFonts w:ascii="Times New Roman" w:hAnsi="Times New Roman"/>
          <w:color w:val="000000"/>
          <w:sz w:val="28"/>
          <w:szCs w:val="28"/>
        </w:rPr>
      </w:pPr>
      <w:r>
        <w:rPr>
          <w:rFonts w:ascii="Times New Roman" w:hAnsi="Times New Roman"/>
          <w:b/>
          <w:sz w:val="28"/>
          <w:szCs w:val="28"/>
        </w:rPr>
        <w:t>2.6.1.2.</w:t>
      </w:r>
      <w:r>
        <w:rPr>
          <w:rFonts w:ascii="Times New Roman" w:hAnsi="Times New Roman"/>
          <w:sz w:val="28"/>
          <w:szCs w:val="28"/>
        </w:rPr>
        <w:t xml:space="preserve"> Платники єдиного податку третьої групи (фізичні особи - підприємці), які є платниками податку на додану вартість, ведуть облік доходів та витрат за формою та в порядку, що встановлені центральним органом виконавчої влади, що забезпечує формування та реалізує державну фінансову політику. </w:t>
      </w:r>
      <w:r>
        <w:rPr>
          <w:rFonts w:ascii="Times New Roman" w:hAnsi="Times New Roman"/>
          <w:color w:val="000000"/>
          <w:sz w:val="28"/>
          <w:szCs w:val="28"/>
        </w:rPr>
        <w:t xml:space="preserve">Для реєстрації Книги обліку доходів та витрат такі </w:t>
      </w:r>
      <w:r>
        <w:rPr>
          <w:rFonts w:ascii="Times New Roman" w:hAnsi="Times New Roman"/>
          <w:color w:val="000000"/>
          <w:sz w:val="28"/>
          <w:szCs w:val="28"/>
        </w:rPr>
        <w:lastRenderedPageBreak/>
        <w:t>платники єдиного податку подають до контролюючого органу за місцем обліку примірник Книги.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2.6.1.3.</w:t>
      </w:r>
      <w:r>
        <w:rPr>
          <w:rFonts w:ascii="Times New Roman" w:hAnsi="Times New Roman"/>
          <w:sz w:val="28"/>
          <w:szCs w:val="28"/>
        </w:rPr>
        <w:t xml:space="preserve"> Платники єдиного податку третьої групи (юридичні особи) використовують дані спрощеного бухгалтерського обліку щодо доходів та витрат з урахуванням положень пункту 44.2 статті 44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2.6.2.</w:t>
      </w:r>
      <w:r>
        <w:rPr>
          <w:rFonts w:ascii="Times New Roman" w:hAnsi="Times New Roman"/>
          <w:sz w:val="28"/>
          <w:szCs w:val="28"/>
        </w:rPr>
        <w:t xml:space="preserve">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пунктом 2.5.1. підрозділу 2.5 розділу 2 цього Положення. </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Така податкова декларація подається, якщо платник єдиного податку не допустив перевищення протягом року обсягу доходу, визначеного у Податковому кодексі України, та у пункті 2.1.1 підрозділу 2.1 розділу 2 цього Положення, та/або самостійно не перейшов на сплату єдиного податку за ставками, встановленими для платників єдиного податку другої або третьої групи.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2.6.3.</w:t>
      </w:r>
      <w:r>
        <w:rPr>
          <w:rFonts w:ascii="Times New Roman" w:hAnsi="Times New Roman"/>
          <w:bCs/>
          <w:sz w:val="28"/>
          <w:szCs w:val="28"/>
        </w:rPr>
        <w:t xml:space="preserve"> </w:t>
      </w:r>
      <w:r>
        <w:rPr>
          <w:rFonts w:ascii="Times New Roman" w:hAnsi="Times New Roman"/>
          <w:sz w:val="28"/>
          <w:szCs w:val="28"/>
        </w:rPr>
        <w:t>Платники єдиного податку третьої 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2.6.4.</w:t>
      </w:r>
      <w:r>
        <w:rPr>
          <w:rFonts w:ascii="Times New Roman" w:hAnsi="Times New Roman"/>
          <w:sz w:val="28"/>
          <w:szCs w:val="28"/>
        </w:rPr>
        <w:t xml:space="preserve"> Податкова декларація подається до контролюючого органу за місцем податкової адреси.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2.6.5.</w:t>
      </w:r>
      <w:r>
        <w:rPr>
          <w:rFonts w:ascii="Times New Roman" w:hAnsi="Times New Roman"/>
          <w:sz w:val="28"/>
          <w:szCs w:val="28"/>
        </w:rPr>
        <w:t xml:space="preserve"> Отримані протягом податкового (звітного) періоду доходи, що перевищують обсяги доходів, встановлених пунктом 2.1.1 підрозділу 2.1 розділу 2 цього Положення, відображаються платниками єдиного податку в податковій декларації з урахуванням особливостей, визначених підпунктами 2.6.5.1 – 2.6.5.5 цієї статті.</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2.6.5.1.</w:t>
      </w:r>
      <w:r>
        <w:rPr>
          <w:rFonts w:ascii="Times New Roman" w:hAnsi="Times New Roman"/>
          <w:sz w:val="28"/>
          <w:szCs w:val="28"/>
        </w:rPr>
        <w:t xml:space="preserve"> 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пункті 2.1.1 підрозділу 2.1 розділу 2 цього Положення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 або відмови від застосування спрощеної системи оподаткування у зв’язку з переходом на сплату інших податків і зборів, визначених Податковим кодексом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w:t>
      </w:r>
      <w:r>
        <w:rPr>
          <w:rFonts w:ascii="Times New Roman" w:hAnsi="Times New Roman"/>
          <w:sz w:val="28"/>
          <w:szCs w:val="28"/>
        </w:rPr>
        <w:lastRenderedPageBreak/>
        <w:t>обсяг доходу, оподаткований за новою ставкою єдиного податку, обраною згідно з умовами, визначеними цією главою, авансові внески, встановлені пунктом 2.5.1 підрозділу 2.5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2.6.5.2.</w:t>
      </w:r>
      <w:r>
        <w:rPr>
          <w:rFonts w:ascii="Times New Roman" w:hAnsi="Times New Roman"/>
          <w:sz w:val="28"/>
          <w:szCs w:val="28"/>
        </w:rPr>
        <w:t xml:space="preserve"> Платники єдиного податку другої групи у податковій декларації окремо відображають: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 щомісячні авансові внески, визначені пунктом 2.5.1 підрозділу 2.5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  обсяг доходу оподаткований за кожною з обраних ними ставок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3) обсяг доходу оподаткований за ставкою 15 відсотків (у разі перевищення обсягу доходу).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2.6.5.3.</w:t>
      </w:r>
      <w:r>
        <w:rPr>
          <w:rFonts w:ascii="Times New Roman" w:hAnsi="Times New Roman"/>
          <w:sz w:val="28"/>
          <w:szCs w:val="28"/>
        </w:rPr>
        <w:t xml:space="preserve"> Платники єдиного податку третьої групи (фізичні особи - підприємці) у податковій декларації окремо відображають: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1) обсяг доходу, оподаткований за кожною з обраних ними ставок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2) обсяг доходу, оподаткований за ставкою 15 відсотків (у разі перевищення обсягу доходу).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2.6.5.4.</w:t>
      </w:r>
      <w:r>
        <w:rPr>
          <w:rFonts w:ascii="Times New Roman" w:hAnsi="Times New Roman"/>
          <w:sz w:val="28"/>
          <w:szCs w:val="28"/>
        </w:rPr>
        <w:t xml:space="preserve"> Платники єдиного податку третьої групи (юридичні особи) у податковій декларації окремо відображають:</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1) обсяг доходу, що оподаткований за відповідною ставкою єдиного податку, встановленою для таких платників пунктом 2.3.3 </w:t>
      </w:r>
      <w:hyperlink r:id="rId8" w:anchor="n7083" w:history="1">
        <w:r>
          <w:rPr>
            <w:rStyle w:val="a6"/>
            <w:rFonts w:ascii="Times New Roman" w:hAnsi="Times New Roman"/>
            <w:sz w:val="28"/>
            <w:szCs w:val="28"/>
          </w:rPr>
          <w:t>підрозділу 2.3</w:t>
        </w:r>
      </w:hyperlink>
      <w:r>
        <w:rPr>
          <w:rFonts w:ascii="Times New Roman" w:hAnsi="Times New Roman"/>
          <w:sz w:val="28"/>
          <w:szCs w:val="28"/>
        </w:rPr>
        <w:t xml:space="preserve"> розділу 2  цього Положення;</w:t>
      </w:r>
    </w:p>
    <w:p w:rsidR="00852F5B" w:rsidRDefault="00852F5B" w:rsidP="00852F5B">
      <w:pPr>
        <w:pStyle w:val="a3"/>
        <w:spacing w:line="276" w:lineRule="auto"/>
        <w:ind w:firstLine="284"/>
        <w:jc w:val="both"/>
        <w:rPr>
          <w:rFonts w:ascii="Times New Roman" w:hAnsi="Times New Roman"/>
          <w:sz w:val="28"/>
          <w:szCs w:val="28"/>
        </w:rPr>
      </w:pPr>
      <w:bookmarkStart w:id="15" w:name="n7190"/>
      <w:bookmarkEnd w:id="15"/>
      <w:r>
        <w:rPr>
          <w:rFonts w:ascii="Times New Roman" w:hAnsi="Times New Roman"/>
          <w:sz w:val="28"/>
          <w:szCs w:val="28"/>
        </w:rPr>
        <w:t xml:space="preserve">2) обсяг доходу, що оподаткований за подвійною ставкою єдиного податку,  встановленою для таких платників пунктом підпунктом 2.3.3. </w:t>
      </w:r>
      <w:hyperlink r:id="rId9" w:anchor="n7083" w:history="1">
        <w:r>
          <w:rPr>
            <w:rStyle w:val="a6"/>
            <w:rFonts w:ascii="Times New Roman" w:hAnsi="Times New Roman"/>
            <w:sz w:val="28"/>
            <w:szCs w:val="28"/>
          </w:rPr>
          <w:t>пункту 2.3</w:t>
        </w:r>
      </w:hyperlink>
      <w:r>
        <w:rPr>
          <w:rFonts w:ascii="Times New Roman" w:hAnsi="Times New Roman"/>
          <w:sz w:val="28"/>
          <w:szCs w:val="28"/>
        </w:rPr>
        <w:t xml:space="preserve"> розділу 2 цього Положення (у разі перевищення обсягу доходу).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2.6.5.5.</w:t>
      </w:r>
      <w:r>
        <w:rPr>
          <w:rFonts w:ascii="Times New Roman" w:hAnsi="Times New Roman"/>
          <w:sz w:val="28"/>
          <w:szCs w:val="28"/>
        </w:rPr>
        <w:t xml:space="preserve"> У разі застосування іншого способу розрахунків, ніж зазначений у главі 1 розділу </w:t>
      </w:r>
      <w:r>
        <w:rPr>
          <w:rFonts w:ascii="Times New Roman" w:hAnsi="Times New Roman"/>
          <w:sz w:val="28"/>
          <w:szCs w:val="28"/>
          <w:lang w:val="en-US"/>
        </w:rPr>
        <w:t>X</w:t>
      </w:r>
      <w:r>
        <w:rPr>
          <w:rFonts w:ascii="Times New Roman" w:hAnsi="Times New Roman"/>
          <w:sz w:val="28"/>
          <w:szCs w:val="28"/>
        </w:rPr>
        <w:t>І</w:t>
      </w:r>
      <w:r>
        <w:rPr>
          <w:rFonts w:ascii="Times New Roman" w:hAnsi="Times New Roman"/>
          <w:sz w:val="28"/>
          <w:szCs w:val="28"/>
          <w:lang w:val="en-US"/>
        </w:rPr>
        <w:t>V</w:t>
      </w:r>
      <w:r>
        <w:rPr>
          <w:rFonts w:ascii="Times New Roman" w:hAnsi="Times New Roman"/>
          <w:sz w:val="28"/>
          <w:szCs w:val="28"/>
        </w:rPr>
        <w:t xml:space="preserve"> Податкового кодексу України,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bookmarkStart w:id="16" w:name="n9570"/>
      <w:bookmarkStart w:id="17" w:name="n7193"/>
      <w:bookmarkEnd w:id="16"/>
      <w:bookmarkEnd w:id="17"/>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2.6.6.</w:t>
      </w:r>
      <w:r>
        <w:rPr>
          <w:rFonts w:ascii="Times New Roman" w:hAnsi="Times New Roman"/>
          <w:sz w:val="28"/>
          <w:szCs w:val="28"/>
        </w:rPr>
        <w:t xml:space="preserve"> Сума перевищення обсягу доходу відображається у податковій декларації за податковий (звітний) період, у якому відбулося таке перевищення.</w:t>
      </w:r>
    </w:p>
    <w:p w:rsidR="00852F5B" w:rsidRDefault="00852F5B" w:rsidP="00852F5B">
      <w:pPr>
        <w:pStyle w:val="a3"/>
        <w:spacing w:line="276" w:lineRule="auto"/>
        <w:ind w:firstLine="284"/>
        <w:jc w:val="both"/>
        <w:rPr>
          <w:rFonts w:ascii="Times New Roman" w:hAnsi="Times New Roman"/>
          <w:sz w:val="28"/>
          <w:szCs w:val="28"/>
        </w:rPr>
      </w:pPr>
      <w:bookmarkStart w:id="18" w:name="n7194"/>
      <w:bookmarkEnd w:id="18"/>
      <w:r>
        <w:rPr>
          <w:rFonts w:ascii="Times New Roman" w:hAnsi="Times New Roman"/>
          <w:sz w:val="28"/>
          <w:szCs w:val="28"/>
        </w:rPr>
        <w:lastRenderedPageBreak/>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bookmarkStart w:id="19" w:name="n7195"/>
      <w:bookmarkEnd w:id="19"/>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2.6.7.</w:t>
      </w:r>
      <w:r>
        <w:rPr>
          <w:rFonts w:ascii="Times New Roman" w:hAnsi="Times New Roman"/>
          <w:sz w:val="28"/>
          <w:szCs w:val="28"/>
        </w:rPr>
        <w:t xml:space="preserve"> Податкова декларація складається наростаючим підсумком з урахуванням норм підпунктів 2.6.5 і 2.6.6 пункту 2.6 розділу 2 цього Положення. Уточнююча податкова декларація подається у порядку, встановленому Податковим кодексом України.</w:t>
      </w:r>
      <w:bookmarkStart w:id="20" w:name="n7196"/>
      <w:bookmarkEnd w:id="20"/>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2.6.8.</w:t>
      </w:r>
      <w:r>
        <w:rPr>
          <w:rFonts w:ascii="Times New Roman" w:hAnsi="Times New Roman"/>
          <w:sz w:val="28"/>
          <w:szCs w:val="28"/>
        </w:rPr>
        <w:t xml:space="preserve"> 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852F5B" w:rsidRDefault="00852F5B" w:rsidP="00852F5B">
      <w:pPr>
        <w:pStyle w:val="a3"/>
        <w:spacing w:line="276" w:lineRule="auto"/>
        <w:ind w:firstLine="284"/>
        <w:jc w:val="both"/>
        <w:rPr>
          <w:rFonts w:ascii="Times New Roman" w:hAnsi="Times New Roman"/>
          <w:sz w:val="28"/>
          <w:szCs w:val="28"/>
        </w:rPr>
      </w:pPr>
      <w:bookmarkStart w:id="21" w:name="n7197"/>
      <w:bookmarkEnd w:id="21"/>
      <w:r>
        <w:rPr>
          <w:rFonts w:ascii="Times New Roman" w:hAnsi="Times New Roman"/>
          <w:sz w:val="28"/>
          <w:szCs w:val="28"/>
        </w:rPr>
        <w:t>Така податкова декларація складається з урахуванням норм пунктів 2.6.5 і 2.6.6 підрозділу 2.6 розділу 2 цього Положення та не є підставою для нарахування та/або сплати податкового зобов'язання.</w:t>
      </w:r>
      <w:bookmarkStart w:id="22" w:name="n7198"/>
      <w:bookmarkEnd w:id="22"/>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2.6.9.</w:t>
      </w:r>
      <w:r>
        <w:rPr>
          <w:rFonts w:ascii="Times New Roman" w:hAnsi="Times New Roman"/>
          <w:sz w:val="28"/>
          <w:szCs w:val="28"/>
        </w:rPr>
        <w:t xml:space="preserve"> Форми податкових декларацій платника єдиного податку, визначених пунктами 2.6.2 і 2.6.3 підрозділу 2.6 розділу 2 цього Положення, затверджуються в порядку, встановленому статтею 46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2.6.10.</w:t>
      </w:r>
      <w:r>
        <w:rPr>
          <w:rFonts w:ascii="Times New Roman" w:hAnsi="Times New Roman"/>
          <w:sz w:val="28"/>
          <w:szCs w:val="28"/>
        </w:rPr>
        <w:t xml:space="preserve"> Реєстратори розрахункових операцій не застосовуються платниками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sz w:val="28"/>
          <w:szCs w:val="28"/>
        </w:rPr>
        <w:t>- першої групи;</w:t>
      </w:r>
    </w:p>
    <w:p w:rsidR="00852F5B" w:rsidRDefault="00852F5B" w:rsidP="00852F5B">
      <w:pPr>
        <w:pStyle w:val="a3"/>
        <w:spacing w:line="276" w:lineRule="auto"/>
        <w:ind w:firstLine="284"/>
        <w:jc w:val="both"/>
        <w:rPr>
          <w:rFonts w:ascii="Times New Roman" w:hAnsi="Times New Roman"/>
          <w:color w:val="000000"/>
          <w:sz w:val="28"/>
          <w:szCs w:val="28"/>
        </w:rPr>
      </w:pPr>
      <w:r>
        <w:rPr>
          <w:rFonts w:ascii="Times New Roman" w:hAnsi="Times New Roman"/>
          <w:sz w:val="28"/>
          <w:szCs w:val="28"/>
        </w:rPr>
        <w:t>- другої – четвертої груп (фізичні особи - підприємці) незалежно від обраного виду діяльності, обсяг доходу яких протягом календарного року не перевищує 1 000 000 гривень. У разі перевищення в календарному році обсягу доходу понад 1 000 000 гривень застосування реєстратора розрахункових операцій для такого платника єдиного податку є обов</w:t>
      </w:r>
      <w:r>
        <w:rPr>
          <w:rFonts w:ascii="Times New Roman" w:hAnsi="Times New Roman"/>
          <w:color w:val="000000"/>
          <w:sz w:val="28"/>
          <w:szCs w:val="28"/>
        </w:rPr>
        <w:t xml:space="preserve">’язковим. Застосування реєстратора розрахункових операцій розпочинається з першого числа першого місяця кварталу, наступного за виникненням такого перевищення, та продовжується у всіх наступних податкових періодах протягом реєстрації суб’єкта господарювання як платника єдиного податку. </w:t>
      </w:r>
    </w:p>
    <w:p w:rsidR="00852F5B" w:rsidRDefault="00852F5B" w:rsidP="00852F5B">
      <w:pPr>
        <w:pStyle w:val="a3"/>
        <w:spacing w:line="276" w:lineRule="auto"/>
        <w:ind w:firstLine="284"/>
        <w:jc w:val="both"/>
        <w:rPr>
          <w:rFonts w:ascii="Times New Roman" w:hAnsi="Times New Roman"/>
          <w:color w:val="000000"/>
          <w:sz w:val="28"/>
          <w:szCs w:val="28"/>
        </w:rPr>
      </w:pPr>
      <w:r>
        <w:rPr>
          <w:rFonts w:ascii="Times New Roman" w:hAnsi="Times New Roman"/>
          <w:color w:val="000000"/>
          <w:sz w:val="28"/>
          <w:szCs w:val="28"/>
        </w:rPr>
        <w:t>Норми цього пункту не поширюються на платників єдиного податку, які здійснюють реалізацію технічно складних побутових товарів, що підлягають гарантійному ремонту, а також лікарських засобів та виробів медичного призначення.</w:t>
      </w:r>
    </w:p>
    <w:p w:rsidR="00852F5B" w:rsidRDefault="00852F5B" w:rsidP="00852F5B">
      <w:pPr>
        <w:spacing w:after="240"/>
        <w:ind w:firstLine="709"/>
        <w:rPr>
          <w:b/>
          <w:sz w:val="28"/>
          <w:szCs w:val="28"/>
        </w:rPr>
      </w:pPr>
      <w:r>
        <w:rPr>
          <w:b/>
          <w:sz w:val="28"/>
          <w:szCs w:val="28"/>
        </w:rPr>
        <w:t>Розділ 3. Особливості справляння єдиного податку</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lastRenderedPageBreak/>
        <w:t>3.1.</w:t>
      </w:r>
      <w:r>
        <w:rPr>
          <w:rFonts w:ascii="Times New Roman" w:hAnsi="Times New Roman"/>
          <w:sz w:val="28"/>
          <w:szCs w:val="28"/>
        </w:rPr>
        <w:t xml:space="preserve"> Особливості нарахування, сплати та подання звітності з окремих податків і зборів платниками єдиного податку визначено статтею 297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sz w:val="28"/>
          <w:szCs w:val="28"/>
        </w:rPr>
        <w:t>3.2.</w:t>
      </w:r>
      <w:r>
        <w:rPr>
          <w:rFonts w:ascii="Times New Roman" w:hAnsi="Times New Roman"/>
          <w:sz w:val="28"/>
          <w:szCs w:val="28"/>
        </w:rPr>
        <w:t xml:space="preserve">  Порядок обрання або переходу на спрощену систему оподаткування, або відмови від спрощеної системи оподаткування визначено статтею 298 Податкового кодексу України.</w:t>
      </w:r>
    </w:p>
    <w:p w:rsidR="00852F5B" w:rsidRDefault="00852F5B" w:rsidP="00852F5B">
      <w:pPr>
        <w:pStyle w:val="a3"/>
        <w:spacing w:line="276" w:lineRule="auto"/>
        <w:ind w:firstLine="284"/>
        <w:jc w:val="both"/>
        <w:rPr>
          <w:rFonts w:ascii="Times New Roman" w:hAnsi="Times New Roman"/>
          <w:sz w:val="28"/>
          <w:szCs w:val="28"/>
        </w:rPr>
      </w:pPr>
      <w:r>
        <w:rPr>
          <w:rFonts w:ascii="Times New Roman" w:hAnsi="Times New Roman"/>
          <w:b/>
          <w:bCs/>
          <w:sz w:val="28"/>
          <w:szCs w:val="28"/>
        </w:rPr>
        <w:t>3.3.</w:t>
      </w:r>
      <w:r>
        <w:rPr>
          <w:rFonts w:ascii="Times New Roman" w:hAnsi="Times New Roman"/>
          <w:bCs/>
          <w:sz w:val="28"/>
          <w:szCs w:val="28"/>
        </w:rPr>
        <w:t xml:space="preserve"> </w:t>
      </w:r>
      <w:r>
        <w:rPr>
          <w:rFonts w:ascii="Times New Roman" w:hAnsi="Times New Roman"/>
          <w:sz w:val="28"/>
          <w:szCs w:val="28"/>
        </w:rPr>
        <w:t>Порядок реєстрації та анулювання реєстрації платників єдиного податку визначено статтею 299 Податкового кодексу України</w:t>
      </w:r>
      <w:r>
        <w:rPr>
          <w:rFonts w:ascii="Times New Roman" w:hAnsi="Times New Roman"/>
          <w:color w:val="000000"/>
          <w:sz w:val="28"/>
          <w:szCs w:val="28"/>
        </w:rPr>
        <w:t>.</w:t>
      </w:r>
      <w:r>
        <w:rPr>
          <w:rFonts w:ascii="Times New Roman" w:hAnsi="Times New Roman"/>
          <w:sz w:val="28"/>
          <w:szCs w:val="28"/>
        </w:rPr>
        <w:tab/>
      </w:r>
    </w:p>
    <w:p w:rsidR="00852F5B" w:rsidRDefault="00852F5B" w:rsidP="00852F5B">
      <w:pPr>
        <w:spacing w:after="240"/>
        <w:ind w:firstLine="709"/>
        <w:rPr>
          <w:b/>
          <w:sz w:val="28"/>
          <w:szCs w:val="28"/>
        </w:rPr>
      </w:pPr>
      <w:bookmarkStart w:id="23" w:name="n9577"/>
      <w:bookmarkEnd w:id="23"/>
      <w:r>
        <w:rPr>
          <w:b/>
          <w:sz w:val="28"/>
          <w:szCs w:val="28"/>
        </w:rPr>
        <w:t>Розділ 4. Відповідальність платника єдиного податку</w:t>
      </w:r>
    </w:p>
    <w:p w:rsidR="00852F5B" w:rsidRDefault="00852F5B" w:rsidP="00852F5B">
      <w:pPr>
        <w:spacing w:after="240"/>
        <w:ind w:firstLine="709"/>
        <w:jc w:val="both"/>
        <w:rPr>
          <w:sz w:val="28"/>
          <w:szCs w:val="28"/>
        </w:rPr>
      </w:pPr>
      <w:r>
        <w:rPr>
          <w:b/>
          <w:sz w:val="28"/>
          <w:szCs w:val="28"/>
        </w:rPr>
        <w:t>4.1.</w:t>
      </w:r>
      <w:r>
        <w:rPr>
          <w:sz w:val="28"/>
          <w:szCs w:val="28"/>
        </w:rPr>
        <w:t xml:space="preserve"> Платники єдиного податку несуть відповідальність, відповідно до Податкового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852F5B" w:rsidRDefault="00852F5B" w:rsidP="00852F5B">
      <w:pPr>
        <w:pStyle w:val="Iniiaieeoaeno"/>
        <w:spacing w:after="240"/>
        <w:ind w:firstLine="0"/>
        <w:rPr>
          <w:b/>
          <w:bCs/>
          <w:color w:val="000000"/>
          <w:sz w:val="24"/>
          <w:szCs w:val="24"/>
          <w:lang w:val="ru-RU"/>
        </w:rPr>
      </w:pPr>
    </w:p>
    <w:p w:rsidR="00852F5B" w:rsidRDefault="00852F5B" w:rsidP="00852F5B">
      <w:pPr>
        <w:pStyle w:val="Iniiaieeoaeno"/>
        <w:spacing w:after="240"/>
        <w:ind w:firstLine="0"/>
        <w:rPr>
          <w:b/>
          <w:bCs/>
          <w:color w:val="000000"/>
          <w:sz w:val="24"/>
          <w:szCs w:val="24"/>
          <w:lang w:val="ru-RU"/>
        </w:rPr>
      </w:pPr>
    </w:p>
    <w:p w:rsidR="00852F5B" w:rsidRDefault="00852F5B" w:rsidP="00852F5B">
      <w:pPr>
        <w:pStyle w:val="Iniiaieeoaeno"/>
        <w:spacing w:after="240"/>
        <w:ind w:firstLine="0"/>
        <w:rPr>
          <w:b/>
          <w:bCs/>
          <w:color w:val="000000"/>
          <w:sz w:val="24"/>
          <w:szCs w:val="24"/>
          <w:lang w:val="ru-RU"/>
        </w:rPr>
      </w:pPr>
    </w:p>
    <w:p w:rsidR="00F363D0" w:rsidRDefault="00852F5B" w:rsidP="00852F5B">
      <w:r>
        <w:rPr>
          <w:b/>
          <w:sz w:val="28"/>
          <w:szCs w:val="28"/>
        </w:rPr>
        <w:t xml:space="preserve">Сільський голова </w:t>
      </w:r>
      <w:r>
        <w:rPr>
          <w:b/>
          <w:sz w:val="28"/>
          <w:szCs w:val="28"/>
        </w:rPr>
        <w:tab/>
      </w:r>
      <w:r>
        <w:rPr>
          <w:b/>
          <w:sz w:val="28"/>
          <w:szCs w:val="28"/>
        </w:rPr>
        <w:tab/>
      </w:r>
      <w:r>
        <w:rPr>
          <w:b/>
          <w:sz w:val="28"/>
          <w:szCs w:val="28"/>
        </w:rPr>
        <w:tab/>
      </w:r>
      <w:r>
        <w:rPr>
          <w:b/>
          <w:sz w:val="28"/>
          <w:szCs w:val="28"/>
        </w:rPr>
        <w:tab/>
      </w:r>
      <w:r>
        <w:rPr>
          <w:b/>
          <w:sz w:val="28"/>
          <w:szCs w:val="28"/>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0607"/>
    <w:multiLevelType w:val="hybridMultilevel"/>
    <w:tmpl w:val="D0527A7A"/>
    <w:lvl w:ilvl="0" w:tplc="F8BA8280">
      <w:start w:val="1"/>
      <w:numFmt w:val="decimal"/>
      <w:lvlText w:val="%1."/>
      <w:lvlJc w:val="left"/>
      <w:pPr>
        <w:tabs>
          <w:tab w:val="num" w:pos="360"/>
        </w:tabs>
        <w:ind w:left="360" w:hanging="360"/>
      </w:pPr>
    </w:lvl>
    <w:lvl w:ilvl="1" w:tplc="04190019">
      <w:start w:val="1"/>
      <w:numFmt w:val="decimal"/>
      <w:lvlText w:val="%2."/>
      <w:lvlJc w:val="left"/>
      <w:pPr>
        <w:tabs>
          <w:tab w:val="num" w:pos="735"/>
        </w:tabs>
        <w:ind w:left="735" w:hanging="360"/>
      </w:pPr>
    </w:lvl>
    <w:lvl w:ilvl="2" w:tplc="0419001B">
      <w:start w:val="1"/>
      <w:numFmt w:val="decimal"/>
      <w:lvlText w:val="%3."/>
      <w:lvlJc w:val="left"/>
      <w:pPr>
        <w:tabs>
          <w:tab w:val="num" w:pos="1455"/>
        </w:tabs>
        <w:ind w:left="1455" w:hanging="360"/>
      </w:pPr>
    </w:lvl>
    <w:lvl w:ilvl="3" w:tplc="0419000F">
      <w:start w:val="1"/>
      <w:numFmt w:val="decimal"/>
      <w:lvlText w:val="%4."/>
      <w:lvlJc w:val="left"/>
      <w:pPr>
        <w:tabs>
          <w:tab w:val="num" w:pos="2175"/>
        </w:tabs>
        <w:ind w:left="2175" w:hanging="360"/>
      </w:pPr>
    </w:lvl>
    <w:lvl w:ilvl="4" w:tplc="04190019">
      <w:start w:val="1"/>
      <w:numFmt w:val="decimal"/>
      <w:lvlText w:val="%5."/>
      <w:lvlJc w:val="left"/>
      <w:pPr>
        <w:tabs>
          <w:tab w:val="num" w:pos="2895"/>
        </w:tabs>
        <w:ind w:left="2895" w:hanging="360"/>
      </w:pPr>
    </w:lvl>
    <w:lvl w:ilvl="5" w:tplc="0419001B">
      <w:start w:val="1"/>
      <w:numFmt w:val="decimal"/>
      <w:lvlText w:val="%6."/>
      <w:lvlJc w:val="left"/>
      <w:pPr>
        <w:tabs>
          <w:tab w:val="num" w:pos="3615"/>
        </w:tabs>
        <w:ind w:left="3615" w:hanging="360"/>
      </w:pPr>
    </w:lvl>
    <w:lvl w:ilvl="6" w:tplc="0419000F">
      <w:start w:val="1"/>
      <w:numFmt w:val="decimal"/>
      <w:lvlText w:val="%7."/>
      <w:lvlJc w:val="left"/>
      <w:pPr>
        <w:tabs>
          <w:tab w:val="num" w:pos="4335"/>
        </w:tabs>
        <w:ind w:left="4335" w:hanging="360"/>
      </w:pPr>
    </w:lvl>
    <w:lvl w:ilvl="7" w:tplc="04190019">
      <w:start w:val="1"/>
      <w:numFmt w:val="decimal"/>
      <w:lvlText w:val="%8."/>
      <w:lvlJc w:val="left"/>
      <w:pPr>
        <w:tabs>
          <w:tab w:val="num" w:pos="5055"/>
        </w:tabs>
        <w:ind w:left="5055" w:hanging="360"/>
      </w:pPr>
    </w:lvl>
    <w:lvl w:ilvl="8" w:tplc="0419001B">
      <w:start w:val="1"/>
      <w:numFmt w:val="decimal"/>
      <w:lvlText w:val="%9."/>
      <w:lvlJc w:val="left"/>
      <w:pPr>
        <w:tabs>
          <w:tab w:val="num" w:pos="5775"/>
        </w:tabs>
        <w:ind w:left="5775"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852F5B"/>
    <w:rsid w:val="000A1979"/>
    <w:rsid w:val="00135B15"/>
    <w:rsid w:val="00197256"/>
    <w:rsid w:val="00281A9B"/>
    <w:rsid w:val="00423FA0"/>
    <w:rsid w:val="00852F5B"/>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F5B"/>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uiPriority w:val="1"/>
    <w:unhideWhenUsed/>
    <w:qFormat/>
    <w:rsid w:val="00852F5B"/>
    <w:pPr>
      <w:spacing w:after="0" w:line="240" w:lineRule="auto"/>
    </w:pPr>
    <w:rPr>
      <w:rFonts w:ascii="Calibri" w:eastAsia="Calibri" w:hAnsi="Calibri" w:cs="Times New Roman"/>
    </w:rPr>
  </w:style>
  <w:style w:type="character" w:customStyle="1" w:styleId="a4">
    <w:name w:val="Абзац списка Знак"/>
    <w:aliases w:val="Elenco Normale Знак,название табл/рис Знак,заголовок 1.1 Знак"/>
    <w:link w:val="a5"/>
    <w:uiPriority w:val="34"/>
    <w:locked/>
    <w:rsid w:val="00852F5B"/>
    <w:rPr>
      <w:rFonts w:ascii="Times New Roman" w:eastAsia="Times New Roman" w:hAnsi="Times New Roman" w:cs="Times New Roman"/>
      <w:sz w:val="24"/>
      <w:szCs w:val="24"/>
      <w:lang w:val="uk-UA" w:eastAsia="ru-RU"/>
    </w:rPr>
  </w:style>
  <w:style w:type="paragraph" w:styleId="a5">
    <w:name w:val="List Paragraph"/>
    <w:aliases w:val="Elenco Normale,название табл/рис,заголовок 1.1"/>
    <w:basedOn w:val="a"/>
    <w:link w:val="a4"/>
    <w:uiPriority w:val="34"/>
    <w:qFormat/>
    <w:rsid w:val="00852F5B"/>
    <w:pPr>
      <w:suppressAutoHyphens w:val="0"/>
      <w:autoSpaceDE/>
      <w:ind w:left="720"/>
      <w:contextualSpacing/>
    </w:pPr>
    <w:rPr>
      <w:sz w:val="24"/>
      <w:szCs w:val="24"/>
      <w:lang w:val="uk-UA" w:eastAsia="ru-RU"/>
    </w:rPr>
  </w:style>
  <w:style w:type="character" w:customStyle="1" w:styleId="StyleZakonu">
    <w:name w:val="StyleZakonu Знак"/>
    <w:link w:val="StyleZakonu0"/>
    <w:locked/>
    <w:rsid w:val="00852F5B"/>
    <w:rPr>
      <w:rFonts w:ascii="Calibri" w:eastAsia="Calibri" w:hAnsi="Calibri" w:cs="Calibri"/>
      <w:lang w:val="uk-UA"/>
    </w:rPr>
  </w:style>
  <w:style w:type="paragraph" w:customStyle="1" w:styleId="StyleZakonu0">
    <w:name w:val="StyleZakonu"/>
    <w:basedOn w:val="a"/>
    <w:link w:val="StyleZakonu"/>
    <w:qFormat/>
    <w:rsid w:val="00852F5B"/>
    <w:pPr>
      <w:suppressAutoHyphens w:val="0"/>
      <w:autoSpaceDE/>
      <w:spacing w:after="60" w:line="220" w:lineRule="exact"/>
      <w:ind w:firstLine="284"/>
      <w:jc w:val="both"/>
    </w:pPr>
    <w:rPr>
      <w:rFonts w:ascii="Calibri" w:eastAsia="Calibri" w:hAnsi="Calibri" w:cs="Calibri"/>
      <w:sz w:val="22"/>
      <w:szCs w:val="22"/>
      <w:lang w:val="uk-UA" w:eastAsia="en-US"/>
    </w:rPr>
  </w:style>
  <w:style w:type="paragraph" w:customStyle="1" w:styleId="Iniiaieeoaeno">
    <w:name w:val="Iniiaiee oaeno"/>
    <w:uiPriority w:val="99"/>
    <w:qFormat/>
    <w:rsid w:val="00852F5B"/>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character" w:customStyle="1" w:styleId="FontStyle84">
    <w:name w:val="Font Style84"/>
    <w:rsid w:val="00852F5B"/>
    <w:rPr>
      <w:rFonts w:ascii="Microsoft Sans Serif" w:hAnsi="Microsoft Sans Serif" w:cs="Microsoft Sans Serif" w:hint="default"/>
      <w:sz w:val="14"/>
      <w:szCs w:val="14"/>
    </w:rPr>
  </w:style>
  <w:style w:type="character" w:styleId="a6">
    <w:name w:val="Hyperlink"/>
    <w:basedOn w:val="a0"/>
    <w:uiPriority w:val="99"/>
    <w:semiHidden/>
    <w:unhideWhenUsed/>
    <w:rsid w:val="00852F5B"/>
    <w:rPr>
      <w:color w:val="0000FF"/>
      <w:u w:val="single"/>
    </w:rPr>
  </w:style>
  <w:style w:type="paragraph" w:styleId="a7">
    <w:name w:val="Balloon Text"/>
    <w:basedOn w:val="a"/>
    <w:link w:val="a8"/>
    <w:uiPriority w:val="99"/>
    <w:semiHidden/>
    <w:unhideWhenUsed/>
    <w:rsid w:val="00852F5B"/>
    <w:rPr>
      <w:rFonts w:ascii="Tahoma" w:hAnsi="Tahoma" w:cs="Tahoma"/>
      <w:sz w:val="16"/>
      <w:szCs w:val="16"/>
    </w:rPr>
  </w:style>
  <w:style w:type="character" w:customStyle="1" w:styleId="a8">
    <w:name w:val="Текст выноски Знак"/>
    <w:basedOn w:val="a0"/>
    <w:link w:val="a7"/>
    <w:uiPriority w:val="99"/>
    <w:semiHidden/>
    <w:rsid w:val="00852F5B"/>
    <w:rPr>
      <w:rFonts w:ascii="Tahoma" w:eastAsia="Times New Roman" w:hAnsi="Tahoma" w:cs="Tahoma"/>
      <w:sz w:val="16"/>
      <w:szCs w:val="16"/>
      <w:lang w:eastAsia="zh-CN"/>
    </w:rPr>
  </w:style>
  <w:style w:type="paragraph" w:styleId="a9">
    <w:name w:val="No Spacing"/>
    <w:link w:val="aa"/>
    <w:uiPriority w:val="1"/>
    <w:qFormat/>
    <w:rsid w:val="00852F5B"/>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852F5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906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755-17/page38" TargetMode="External"/><Relationship Id="rId3" Type="http://schemas.openxmlformats.org/officeDocument/2006/relationships/settings" Target="settings.xml"/><Relationship Id="rId7" Type="http://schemas.openxmlformats.org/officeDocument/2006/relationships/hyperlink" Target="http://zakon2.rada.gov.ua/laws/show/2755-17/page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85/96-%D0%B2%D1%8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show/2755-17/page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6513</Words>
  <Characters>37129</Characters>
  <Application>Microsoft Office Word</Application>
  <DocSecurity>0</DocSecurity>
  <Lines>309</Lines>
  <Paragraphs>87</Paragraphs>
  <ScaleCrop>false</ScaleCrop>
  <Company/>
  <LinksUpToDate>false</LinksUpToDate>
  <CharactersWithSpaces>43555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2026-07-09T13:53:00Z</dcterms:created>
  <dcterms:modified xsi:type="dcterms:W3CDTF">2026-07-09T13:53:00Z</dcterms:modified>
</cp:coreProperties>
</file>