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94" w:rsidRPr="001B66FB" w:rsidRDefault="006C4494" w:rsidP="006C44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C4494" w:rsidRPr="009C2F49" w:rsidRDefault="006C4494" w:rsidP="006C449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C4494" w:rsidRPr="001B66FB" w:rsidRDefault="006C4494" w:rsidP="006C449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C4494" w:rsidRPr="001B66FB" w:rsidRDefault="006C4494" w:rsidP="006C44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C4494" w:rsidRPr="00CD500E" w:rsidRDefault="006C4494" w:rsidP="006C44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C4494" w:rsidRPr="00287718" w:rsidRDefault="006C4494" w:rsidP="006C449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1323</w:t>
      </w:r>
    </w:p>
    <w:p w:rsidR="006C4494" w:rsidRPr="002C336D" w:rsidRDefault="006C4494" w:rsidP="006C449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C4494" w:rsidRPr="004C1084" w:rsidTr="00637F18">
        <w:tc>
          <w:tcPr>
            <w:tcW w:w="5070" w:type="dxa"/>
          </w:tcPr>
          <w:p w:rsidR="006C4494" w:rsidRPr="0087235F" w:rsidRDefault="006C4494" w:rsidP="00637F18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2024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6C4494" w:rsidRDefault="006C4494" w:rsidP="006C4494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6C4494" w:rsidRPr="00315353" w:rsidRDefault="006C4494" w:rsidP="006C4494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6C4494" w:rsidRPr="00315353" w:rsidRDefault="006C4494" w:rsidP="006C4494">
      <w:pPr>
        <w:pStyle w:val="a5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6C4494" w:rsidRPr="003F0034" w:rsidRDefault="006C4494" w:rsidP="006C4494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</w:t>
      </w:r>
      <w:proofErr w:type="gramStart"/>
      <w:r>
        <w:rPr>
          <w:sz w:val="28"/>
          <w:szCs w:val="28"/>
        </w:rPr>
        <w:t>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  <w:proofErr w:type="gramEnd"/>
    </w:p>
    <w:p w:rsidR="006C4494" w:rsidRPr="00315353" w:rsidRDefault="006C4494" w:rsidP="006C449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6C4494" w:rsidRPr="00EF1BCF" w:rsidRDefault="006C4494" w:rsidP="006C449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C4494" w:rsidRPr="00612FCC" w:rsidRDefault="006C4494" w:rsidP="006C449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12FCC">
        <w:rPr>
          <w:sz w:val="28"/>
          <w:szCs w:val="28"/>
          <w:lang w:val="uk-UA"/>
        </w:rPr>
        <w:t xml:space="preserve">Внести зміни до рішення сесії від 21 грудня 2023 року № 1120 «Про бюджет </w:t>
      </w:r>
      <w:proofErr w:type="spellStart"/>
      <w:r w:rsidRPr="00612FCC">
        <w:rPr>
          <w:sz w:val="28"/>
          <w:szCs w:val="28"/>
          <w:lang w:val="uk-UA"/>
        </w:rPr>
        <w:t>Вербської</w:t>
      </w:r>
      <w:proofErr w:type="spellEnd"/>
      <w:r w:rsidRPr="00612FCC">
        <w:rPr>
          <w:sz w:val="28"/>
          <w:szCs w:val="28"/>
          <w:lang w:val="uk-UA"/>
        </w:rPr>
        <w:t xml:space="preserve"> сільської територіальної громади на 2024 рік» зі змінами, внесеними рішеннями  </w:t>
      </w:r>
      <w:proofErr w:type="spellStart"/>
      <w:r w:rsidRPr="00612FCC">
        <w:rPr>
          <w:sz w:val="28"/>
          <w:szCs w:val="28"/>
          <w:lang w:val="uk-UA"/>
        </w:rPr>
        <w:t>Вербської</w:t>
      </w:r>
      <w:proofErr w:type="spellEnd"/>
      <w:r w:rsidRPr="00612FCC">
        <w:rPr>
          <w:sz w:val="28"/>
          <w:szCs w:val="28"/>
          <w:lang w:val="uk-UA"/>
        </w:rPr>
        <w:t xml:space="preserve"> сільської рад</w:t>
      </w:r>
      <w:r>
        <w:rPr>
          <w:sz w:val="28"/>
          <w:szCs w:val="28"/>
          <w:lang w:val="uk-UA"/>
        </w:rPr>
        <w:t>и «Про внесення змін до бюджету</w:t>
      </w:r>
      <w:r w:rsidRPr="00612FCC">
        <w:rPr>
          <w:sz w:val="28"/>
          <w:szCs w:val="28"/>
          <w:lang w:val="uk-UA"/>
        </w:rPr>
        <w:t xml:space="preserve"> </w:t>
      </w:r>
      <w:proofErr w:type="spellStart"/>
      <w:r w:rsidRPr="00612FCC">
        <w:rPr>
          <w:sz w:val="28"/>
          <w:szCs w:val="28"/>
          <w:lang w:val="uk-UA"/>
        </w:rPr>
        <w:t>Вербської</w:t>
      </w:r>
      <w:proofErr w:type="spellEnd"/>
      <w:r w:rsidRPr="00612FCC">
        <w:rPr>
          <w:sz w:val="28"/>
          <w:szCs w:val="28"/>
          <w:lang w:val="uk-UA"/>
        </w:rPr>
        <w:t xml:space="preserve"> сільської територіальної громади на </w:t>
      </w:r>
      <w:r>
        <w:rPr>
          <w:sz w:val="28"/>
          <w:szCs w:val="28"/>
          <w:lang w:val="uk-UA"/>
        </w:rPr>
        <w:t>2024 рік»</w:t>
      </w:r>
      <w:r w:rsidRPr="00612F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Pr="00612FCC">
        <w:rPr>
          <w:sz w:val="28"/>
          <w:szCs w:val="28"/>
          <w:lang w:val="uk-UA"/>
        </w:rPr>
        <w:t xml:space="preserve"> 13 лютого 2024 року № 1136,  від 08 квітня 2024 року  № 1170, від 23 квітня 2024 року  № 1200, від 16 травня 2024 року № 1205, від 19 червня 2024 року № 1216, від 01 серпня 2024 року № 1243, від 03 жовтня 2024 року № 1267, від 11 жовтня 2024 року № 1288, від 21 листопада 2024 року № 1292, від 09 грудня 2024 року № 1309, а</w:t>
      </w:r>
      <w:r w:rsidRPr="00612FCC">
        <w:rPr>
          <w:color w:val="FF0000"/>
          <w:sz w:val="28"/>
          <w:szCs w:val="28"/>
          <w:lang w:val="uk-UA"/>
        </w:rPr>
        <w:t xml:space="preserve"> </w:t>
      </w:r>
      <w:r w:rsidRPr="00612FCC">
        <w:rPr>
          <w:sz w:val="28"/>
          <w:szCs w:val="28"/>
          <w:lang w:val="uk-UA"/>
        </w:rPr>
        <w:t>саме:</w:t>
      </w:r>
    </w:p>
    <w:p w:rsidR="006C4494" w:rsidRDefault="006C4494" w:rsidP="006C44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6C4494" w:rsidRDefault="006C4494" w:rsidP="006C449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6C4494" w:rsidRDefault="006C4494" w:rsidP="006C4494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1-2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6C4494" w:rsidRDefault="006C4494" w:rsidP="006C4494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6C4494" w:rsidRDefault="006C4494" w:rsidP="006C4494">
      <w:pPr>
        <w:widowControl w:val="0"/>
        <w:ind w:right="158"/>
        <w:jc w:val="both"/>
        <w:rPr>
          <w:sz w:val="28"/>
          <w:szCs w:val="28"/>
        </w:rPr>
      </w:pPr>
    </w:p>
    <w:p w:rsidR="006C4494" w:rsidRPr="00612FCC" w:rsidRDefault="006C4494" w:rsidP="006C4494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6C4494" w:rsidRDefault="006C4494" w:rsidP="006C4494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F363D0" w:rsidRDefault="006C4494" w:rsidP="006C4494"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494"/>
    <w:rsid w:val="00135B15"/>
    <w:rsid w:val="00197256"/>
    <w:rsid w:val="00281A9B"/>
    <w:rsid w:val="00423FA0"/>
    <w:rsid w:val="006C4494"/>
    <w:rsid w:val="00A6330E"/>
    <w:rsid w:val="00B514E9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C44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C4494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6C449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6C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4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2025-01-02T13:17:00Z</dcterms:created>
  <dcterms:modified xsi:type="dcterms:W3CDTF">2025-01-02T13:17:00Z</dcterms:modified>
</cp:coreProperties>
</file>