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AA" w:rsidRPr="0037719B" w:rsidRDefault="00AD30AA" w:rsidP="00AD30A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D30AA" w:rsidRPr="0037719B" w:rsidRDefault="00AD30AA" w:rsidP="00AD30A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AD30AA" w:rsidRPr="0037719B" w:rsidRDefault="00AD30AA" w:rsidP="00AD3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AD30AA" w:rsidRPr="0037719B" w:rsidRDefault="00AD30AA" w:rsidP="00AD3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D30AA" w:rsidRPr="001D4B32" w:rsidRDefault="00AD30AA" w:rsidP="00AD3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D30AA" w:rsidRPr="0037719B" w:rsidRDefault="00AD30AA" w:rsidP="00AD30A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AD30AA" w:rsidRPr="0037719B" w:rsidRDefault="00AD30AA" w:rsidP="00AD30A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D30AA" w:rsidRPr="0037719B" w:rsidRDefault="00AD30AA" w:rsidP="00AD30A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85</w:t>
      </w:r>
    </w:p>
    <w:p w:rsidR="00AD30AA" w:rsidRPr="0037719B" w:rsidRDefault="00AD30AA" w:rsidP="00AD30AA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D30AA" w:rsidRDefault="00AD30AA" w:rsidP="00AD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7ACA">
        <w:rPr>
          <w:rFonts w:ascii="Times New Roman" w:hAnsi="Times New Roman"/>
          <w:b/>
          <w:sz w:val="28"/>
          <w:szCs w:val="28"/>
        </w:rPr>
        <w:t xml:space="preserve">затвердження Програми </w:t>
      </w:r>
    </w:p>
    <w:p w:rsidR="00AD30AA" w:rsidRDefault="00AD30AA" w:rsidP="00AD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F7ACA">
        <w:rPr>
          <w:rFonts w:ascii="Times New Roman" w:hAnsi="Times New Roman"/>
          <w:b/>
          <w:sz w:val="28"/>
          <w:szCs w:val="28"/>
        </w:rPr>
        <w:t xml:space="preserve">абезпечення препаратами інсуліну </w:t>
      </w:r>
    </w:p>
    <w:p w:rsidR="00AD30AA" w:rsidRDefault="00AD30AA" w:rsidP="00AD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ACA">
        <w:rPr>
          <w:rFonts w:ascii="Times New Roman" w:hAnsi="Times New Roman"/>
          <w:b/>
          <w:sz w:val="28"/>
          <w:szCs w:val="28"/>
        </w:rPr>
        <w:t>хворих на цукровий діабет</w:t>
      </w:r>
      <w:r>
        <w:rPr>
          <w:rFonts w:ascii="Times New Roman" w:hAnsi="Times New Roman"/>
          <w:b/>
          <w:sz w:val="28"/>
          <w:szCs w:val="28"/>
        </w:rPr>
        <w:t xml:space="preserve"> жителів </w:t>
      </w:r>
    </w:p>
    <w:p w:rsidR="00AD30AA" w:rsidRDefault="00AD30AA" w:rsidP="00AD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ACA">
        <w:rPr>
          <w:rFonts w:ascii="Times New Roman" w:hAnsi="Times New Roman"/>
          <w:b/>
          <w:sz w:val="28"/>
          <w:szCs w:val="28"/>
        </w:rPr>
        <w:t xml:space="preserve">територіальної громади </w:t>
      </w:r>
      <w:proofErr w:type="spellStart"/>
      <w:r w:rsidRPr="009F7ACA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9F7ACA">
        <w:rPr>
          <w:rFonts w:ascii="Times New Roman" w:hAnsi="Times New Roman"/>
          <w:b/>
          <w:sz w:val="28"/>
          <w:szCs w:val="28"/>
        </w:rPr>
        <w:t xml:space="preserve"> </w:t>
      </w:r>
    </w:p>
    <w:p w:rsidR="00AD30AA" w:rsidRPr="009F7ACA" w:rsidRDefault="00AD30AA" w:rsidP="00AD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ACA">
        <w:rPr>
          <w:rFonts w:ascii="Times New Roman" w:hAnsi="Times New Roman"/>
          <w:b/>
          <w:sz w:val="28"/>
          <w:szCs w:val="28"/>
        </w:rPr>
        <w:t>сільської ради на 2021-2025 роки</w:t>
      </w:r>
    </w:p>
    <w:p w:rsidR="00AD30AA" w:rsidRDefault="00AD30AA" w:rsidP="00AD30A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0AA" w:rsidRPr="00CC2DAA" w:rsidRDefault="00AD30AA" w:rsidP="00AD30A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49A3">
        <w:rPr>
          <w:rFonts w:ascii="Times New Roman" w:hAnsi="Times New Roman"/>
          <w:sz w:val="28"/>
          <w:szCs w:val="28"/>
        </w:rPr>
        <w:t>Керуючись ст</w:t>
      </w:r>
      <w:r>
        <w:rPr>
          <w:rFonts w:ascii="Times New Roman" w:hAnsi="Times New Roman"/>
          <w:sz w:val="28"/>
          <w:szCs w:val="28"/>
        </w:rPr>
        <w:t>аттею</w:t>
      </w:r>
      <w:r w:rsidRPr="00A749A3">
        <w:rPr>
          <w:rFonts w:ascii="Times New Roman" w:hAnsi="Times New Roman"/>
          <w:sz w:val="28"/>
          <w:szCs w:val="28"/>
        </w:rPr>
        <w:t xml:space="preserve"> 26 Закону</w:t>
      </w:r>
      <w:r>
        <w:rPr>
          <w:rFonts w:ascii="Times New Roman" w:hAnsi="Times New Roman"/>
          <w:sz w:val="28"/>
        </w:rPr>
        <w:t xml:space="preserve"> України </w:t>
      </w:r>
      <w:r w:rsidRPr="00A749A3">
        <w:rPr>
          <w:rFonts w:ascii="Times New Roman" w:hAnsi="Times New Roman"/>
          <w:sz w:val="28"/>
        </w:rPr>
        <w:t xml:space="preserve">«Про місцеве самоврядування в Україні», </w:t>
      </w:r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>постанов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ою</w:t>
      </w:r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Кабінету Міністрів України від </w:t>
      </w:r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>23 березня 2016 року №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 </w:t>
      </w:r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>239 «Деякі питання відшкодування вартості препаратів інсуліну»,</w:t>
      </w:r>
      <w:r w:rsidRPr="00A74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AD30AA" w:rsidRPr="0037719B" w:rsidRDefault="00AD30AA" w:rsidP="00AD30A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AD30AA" w:rsidRPr="001D4B32" w:rsidRDefault="00AD30AA" w:rsidP="00AD3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AD30AA" w:rsidRDefault="00AD30AA" w:rsidP="00AD30A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442B81">
        <w:rPr>
          <w:rFonts w:ascii="Times New Roman" w:eastAsia="Calibri" w:hAnsi="Times New Roman"/>
          <w:sz w:val="28"/>
          <w:szCs w:val="28"/>
          <w:lang w:eastAsia="en-US"/>
        </w:rPr>
        <w:t xml:space="preserve">Затвердити </w:t>
      </w:r>
      <w:bookmarkStart w:id="0" w:name="_Hlk59188411"/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Програму </w:t>
      </w:r>
      <w:bookmarkStart w:id="1" w:name="_Hlk57703870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з</w:t>
      </w:r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абезпечення препаратами інсуліну хворих на цукровий діабет </w:t>
      </w:r>
      <w:r w:rsidRPr="001B2DC5">
        <w:rPr>
          <w:rFonts w:ascii="Times New Roman" w:hAnsi="Times New Roman"/>
          <w:sz w:val="28"/>
          <w:szCs w:val="28"/>
        </w:rPr>
        <w:t xml:space="preserve">жителів територіальної громади </w:t>
      </w:r>
      <w:proofErr w:type="spellStart"/>
      <w:r w:rsidRPr="001B2DC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B2DC5">
        <w:rPr>
          <w:rFonts w:ascii="Times New Roman" w:hAnsi="Times New Roman"/>
          <w:sz w:val="28"/>
          <w:szCs w:val="28"/>
        </w:rPr>
        <w:t xml:space="preserve"> сільської ради на 2021-2025 роки</w:t>
      </w:r>
      <w:r>
        <w:rPr>
          <w:rFonts w:ascii="Times New Roman" w:hAnsi="Times New Roman"/>
          <w:sz w:val="28"/>
          <w:szCs w:val="28"/>
        </w:rPr>
        <w:t>», що</w:t>
      </w:r>
      <w:r w:rsidRPr="000A6CAC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bookmarkEnd w:id="0"/>
      <w:bookmarkEnd w:id="1"/>
      <w:r>
        <w:rPr>
          <w:rFonts w:ascii="Times New Roman" w:hAnsi="Times New Roman"/>
          <w:sz w:val="28"/>
        </w:rPr>
        <w:t>додається</w:t>
      </w:r>
      <w:r w:rsidRPr="00442B81">
        <w:rPr>
          <w:rFonts w:ascii="Times New Roman" w:hAnsi="Times New Roman"/>
          <w:sz w:val="28"/>
        </w:rPr>
        <w:t>.</w:t>
      </w:r>
    </w:p>
    <w:p w:rsidR="00AD30AA" w:rsidRDefault="00AD30AA" w:rsidP="00AD30A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Відділу бухгалтерського обліку та звітності здійснювати</w:t>
      </w:r>
      <w:r w:rsidRPr="00EE3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фінансування Програми в межах коштів, передбачених у місцевому бюджеті.</w:t>
      </w:r>
    </w:p>
    <w:p w:rsidR="00AD30AA" w:rsidRDefault="00AD30AA" w:rsidP="00AD30AA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6B62">
        <w:rPr>
          <w:rFonts w:ascii="Times New Roman" w:hAnsi="Times New Roman"/>
          <w:sz w:val="28"/>
          <w:szCs w:val="28"/>
        </w:rPr>
        <w:t>Контроль за викон</w:t>
      </w:r>
      <w:r>
        <w:rPr>
          <w:rFonts w:ascii="Times New Roman" w:hAnsi="Times New Roman"/>
          <w:sz w:val="28"/>
          <w:szCs w:val="28"/>
        </w:rPr>
        <w:t>анням цього рішення покласти на</w:t>
      </w:r>
      <w:r w:rsidRPr="00AE6B62">
        <w:rPr>
          <w:rFonts w:ascii="Times New Roman" w:hAnsi="Times New Roman"/>
          <w:sz w:val="28"/>
          <w:szCs w:val="28"/>
        </w:rPr>
        <w:t xml:space="preserve"> постійну комісію з питань фінансів, бюджету, планування </w:t>
      </w:r>
      <w:r>
        <w:rPr>
          <w:rFonts w:ascii="Times New Roman" w:hAnsi="Times New Roman"/>
          <w:sz w:val="28"/>
          <w:szCs w:val="28"/>
        </w:rPr>
        <w:t>соціально-економічного</w:t>
      </w:r>
      <w:r w:rsidRPr="00AE6B62">
        <w:rPr>
          <w:rFonts w:ascii="Times New Roman" w:hAnsi="Times New Roman"/>
          <w:sz w:val="28"/>
          <w:szCs w:val="28"/>
        </w:rPr>
        <w:t xml:space="preserve"> розвитку, інвестицій та </w:t>
      </w:r>
      <w:r>
        <w:rPr>
          <w:rFonts w:ascii="Times New Roman" w:hAnsi="Times New Roman"/>
          <w:sz w:val="28"/>
          <w:szCs w:val="28"/>
        </w:rPr>
        <w:t>міжнародного співробітництва (голова комісії – Семенюк А. М.)</w:t>
      </w:r>
      <w:r w:rsidRPr="00AE6B62">
        <w:rPr>
          <w:rFonts w:ascii="Times New Roman" w:hAnsi="Times New Roman"/>
          <w:sz w:val="28"/>
          <w:szCs w:val="28"/>
        </w:rPr>
        <w:t xml:space="preserve">. </w:t>
      </w:r>
    </w:p>
    <w:p w:rsidR="00AD30AA" w:rsidRDefault="00AD30AA" w:rsidP="00AD30A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D30AA" w:rsidRDefault="00AD30AA" w:rsidP="00AD30A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D30AA" w:rsidRDefault="00AD30AA" w:rsidP="00AD30A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D30AA" w:rsidRPr="0037719B" w:rsidRDefault="00AD30AA" w:rsidP="00AD30A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AD30AA" w:rsidRDefault="00AD30AA" w:rsidP="00AD30AA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AD30AA" w:rsidRDefault="00AD30AA" w:rsidP="00AD30AA"/>
    <w:p w:rsidR="00AD30AA" w:rsidRDefault="00AD30AA" w:rsidP="00AD30AA">
      <w:r>
        <w:br w:type="page"/>
      </w:r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66"/>
        <w:gridCol w:w="40"/>
      </w:tblGrid>
      <w:tr w:rsidR="00AD30AA" w:rsidRPr="002970E0" w:rsidTr="006A6A5F">
        <w:trPr>
          <w:trHeight w:val="367"/>
        </w:trPr>
        <w:tc>
          <w:tcPr>
            <w:tcW w:w="9366" w:type="dxa"/>
            <w:shd w:val="clear" w:color="auto" w:fill="auto"/>
          </w:tcPr>
          <w:p w:rsidR="00AD30AA" w:rsidRDefault="00AD30AA" w:rsidP="006A6A5F">
            <w:pPr>
              <w:tabs>
                <w:tab w:val="left" w:pos="7273"/>
              </w:tabs>
              <w:suppressAutoHyphens/>
              <w:snapToGrid w:val="0"/>
              <w:spacing w:after="0" w:line="240" w:lineRule="auto"/>
              <w:ind w:left="5529"/>
              <w:jc w:val="right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Додаток</w:t>
            </w:r>
          </w:p>
          <w:p w:rsidR="00AD30AA" w:rsidRPr="002970E0" w:rsidRDefault="00AD30AA" w:rsidP="006A6A5F">
            <w:pPr>
              <w:tabs>
                <w:tab w:val="left" w:pos="7273"/>
              </w:tabs>
              <w:suppressAutoHyphens/>
              <w:snapToGrid w:val="0"/>
              <w:spacing w:after="0" w:line="240" w:lineRule="auto"/>
              <w:ind w:left="5529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Затверджено</w:t>
            </w:r>
          </w:p>
          <w:p w:rsidR="00AD30AA" w:rsidRPr="002970E0" w:rsidRDefault="00AD30AA" w:rsidP="006A6A5F">
            <w:pPr>
              <w:tabs>
                <w:tab w:val="left" w:pos="7273"/>
              </w:tabs>
              <w:suppressAutoHyphens/>
              <w:snapToGrid w:val="0"/>
              <w:spacing w:after="0" w:line="240" w:lineRule="auto"/>
              <w:ind w:left="5529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</w:t>
            </w:r>
            <w:r w:rsidRPr="002970E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ішенням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2970E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сесії </w:t>
            </w:r>
            <w:proofErr w:type="spellStart"/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Вербської</w:t>
            </w:r>
            <w:proofErr w:type="spellEnd"/>
          </w:p>
          <w:p w:rsidR="00AD30AA" w:rsidRPr="002970E0" w:rsidRDefault="00AD30AA" w:rsidP="006A6A5F">
            <w:pPr>
              <w:tabs>
                <w:tab w:val="left" w:pos="7273"/>
              </w:tabs>
              <w:suppressAutoHyphens/>
              <w:snapToGrid w:val="0"/>
              <w:spacing w:after="0" w:line="240" w:lineRule="auto"/>
              <w:ind w:left="5529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2970E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сільської ради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AD30AA" w:rsidRPr="00EC14CC" w:rsidRDefault="00AD30AA" w:rsidP="006A6A5F">
            <w:pPr>
              <w:tabs>
                <w:tab w:val="left" w:pos="7273"/>
              </w:tabs>
              <w:suppressAutoHyphens/>
              <w:snapToGrid w:val="0"/>
              <w:spacing w:after="0" w:line="240" w:lineRule="auto"/>
              <w:ind w:left="5529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від 20</w:t>
            </w:r>
            <w:r w:rsidRPr="00EC14C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січня</w:t>
            </w:r>
            <w:r w:rsidRPr="00EC14C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Pr="00EC14C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№ 85</w:t>
            </w:r>
          </w:p>
          <w:p w:rsidR="00AD30AA" w:rsidRPr="006E29CC" w:rsidRDefault="00AD30AA" w:rsidP="006A6A5F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iCs/>
                <w:sz w:val="32"/>
                <w:szCs w:val="32"/>
              </w:rPr>
            </w:pPr>
          </w:p>
          <w:p w:rsidR="00AD30AA" w:rsidRPr="000A6CAC" w:rsidRDefault="00AD30AA" w:rsidP="006A6A5F">
            <w:pPr>
              <w:suppressAutoHyphens/>
              <w:spacing w:after="0" w:line="240" w:lineRule="auto"/>
              <w:ind w:left="720"/>
              <w:contextualSpacing/>
              <w:jc w:val="center"/>
              <w:textAlignment w:val="baseline"/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0A6CAC"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  <w:t>Програма</w:t>
            </w:r>
          </w:p>
          <w:p w:rsidR="00AD30AA" w:rsidRPr="000A6CAC" w:rsidRDefault="00AD30AA" w:rsidP="006A6A5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0A6CAC"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  <w:t>забезпечення препаратами інсуліну хворих на цукровий діабет</w:t>
            </w:r>
            <w:r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157F9D"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  <w:t>жителів територіальної громади Вербська сільська рада</w:t>
            </w:r>
          </w:p>
          <w:p w:rsidR="00AD30AA" w:rsidRPr="000A6CAC" w:rsidRDefault="00AD30AA" w:rsidP="006A6A5F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0A6CAC"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  <w:t>на 2021</w:t>
            </w:r>
            <w:r>
              <w:rPr>
                <w:rFonts w:ascii="Times New Roman" w:eastAsia="Arial" w:hAnsi="Times New Roman"/>
                <w:b/>
                <w:kern w:val="2"/>
                <w:sz w:val="28"/>
                <w:szCs w:val="28"/>
                <w:lang w:eastAsia="ar-SA"/>
              </w:rPr>
              <w:t>-2025 роки</w:t>
            </w:r>
          </w:p>
          <w:p w:rsidR="00AD30AA" w:rsidRPr="002970E0" w:rsidRDefault="00AD30AA" w:rsidP="006A6A5F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AD30AA" w:rsidRPr="002970E0" w:rsidRDefault="00AD30AA" w:rsidP="006A6A5F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D30AA" w:rsidRPr="005B50A4" w:rsidRDefault="00AD30AA" w:rsidP="00AD30AA">
      <w:pPr>
        <w:pStyle w:val="a8"/>
        <w:spacing w:after="0" w:line="240" w:lineRule="auto"/>
        <w:ind w:left="142" w:firstLine="142"/>
        <w:jc w:val="right"/>
        <w:rPr>
          <w:sz w:val="24"/>
        </w:rPr>
      </w:pPr>
      <w:r w:rsidRPr="005B50A4">
        <w:rPr>
          <w:sz w:val="24"/>
        </w:rPr>
        <w:t xml:space="preserve">                         </w:t>
      </w:r>
    </w:p>
    <w:p w:rsidR="00AD30AA" w:rsidRDefault="00AD30AA" w:rsidP="00AD30AA">
      <w:pPr>
        <w:pStyle w:val="a8"/>
        <w:spacing w:after="0" w:line="240" w:lineRule="auto"/>
        <w:ind w:left="142" w:firstLine="142"/>
        <w:jc w:val="right"/>
        <w:rPr>
          <w:sz w:val="20"/>
          <w:szCs w:val="20"/>
        </w:rPr>
      </w:pPr>
    </w:p>
    <w:p w:rsidR="00AD30AA" w:rsidRPr="00E21FF1" w:rsidRDefault="00AD30AA" w:rsidP="00AD30AA">
      <w:pPr>
        <w:pStyle w:val="a8"/>
        <w:spacing w:after="0" w:line="240" w:lineRule="auto"/>
        <w:ind w:left="142" w:firstLine="142"/>
        <w:jc w:val="center"/>
        <w:rPr>
          <w:b/>
          <w:szCs w:val="28"/>
        </w:rPr>
      </w:pPr>
      <w:r w:rsidRPr="00E21FF1">
        <w:rPr>
          <w:b/>
          <w:szCs w:val="28"/>
        </w:rPr>
        <w:t xml:space="preserve">1. Паспорт </w:t>
      </w:r>
      <w:r>
        <w:rPr>
          <w:b/>
          <w:szCs w:val="28"/>
        </w:rPr>
        <w:t>Програми</w:t>
      </w:r>
    </w:p>
    <w:p w:rsidR="00AD30AA" w:rsidRDefault="00AD30AA" w:rsidP="00AD30AA">
      <w:pPr>
        <w:pStyle w:val="a8"/>
        <w:spacing w:after="0" w:line="240" w:lineRule="auto"/>
        <w:ind w:left="142" w:firstLine="142"/>
        <w:jc w:val="center"/>
        <w:rPr>
          <w:szCs w:val="28"/>
        </w:rPr>
      </w:pPr>
    </w:p>
    <w:p w:rsidR="00AD30AA" w:rsidRDefault="00AD30AA" w:rsidP="00AD30AA">
      <w:pPr>
        <w:pStyle w:val="a8"/>
        <w:spacing w:after="0" w:line="240" w:lineRule="auto"/>
        <w:ind w:left="142" w:firstLine="142"/>
        <w:jc w:val="center"/>
        <w:rPr>
          <w:sz w:val="4"/>
          <w:szCs w:val="4"/>
        </w:rPr>
      </w:pPr>
    </w:p>
    <w:p w:rsidR="00AD30AA" w:rsidRDefault="00AD30AA" w:rsidP="00AD30AA">
      <w:pPr>
        <w:pStyle w:val="a8"/>
        <w:spacing w:after="0" w:line="240" w:lineRule="auto"/>
        <w:ind w:left="142" w:firstLine="142"/>
        <w:jc w:val="center"/>
        <w:rPr>
          <w:sz w:val="4"/>
          <w:szCs w:val="4"/>
        </w:rPr>
      </w:pPr>
    </w:p>
    <w:tbl>
      <w:tblPr>
        <w:tblW w:w="9291" w:type="dxa"/>
        <w:tblInd w:w="173" w:type="dxa"/>
        <w:tblLayout w:type="fixed"/>
        <w:tblLook w:val="0000"/>
      </w:tblPr>
      <w:tblGrid>
        <w:gridCol w:w="786"/>
        <w:gridCol w:w="3685"/>
        <w:gridCol w:w="4820"/>
      </w:tblGrid>
      <w:tr w:rsidR="00AD30AA" w:rsidRPr="00157F9D" w:rsidTr="006A6A5F">
        <w:trPr>
          <w:trHeight w:val="64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Ініціатор розроблення</w:t>
            </w:r>
          </w:p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color w:val="000000"/>
                <w:sz w:val="28"/>
                <w:szCs w:val="28"/>
              </w:rPr>
              <w:t>Вербська сільська рада</w:t>
            </w:r>
          </w:p>
        </w:tc>
      </w:tr>
      <w:tr w:rsidR="00AD30AA" w:rsidRPr="00157F9D" w:rsidTr="006A6A5F">
        <w:trPr>
          <w:trHeight w:val="64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Дата та номер розпорядчого документу про розроблення Програми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20.01.2021р. Рішення </w:t>
            </w:r>
            <w:proofErr w:type="spellStart"/>
            <w:r w:rsidRPr="00157F9D">
              <w:rPr>
                <w:rFonts w:ascii="Times New Roman" w:hAnsi="Times New Roman"/>
                <w:color w:val="000000"/>
                <w:sz w:val="28"/>
                <w:szCs w:val="28"/>
              </w:rPr>
              <w:t>Вербської</w:t>
            </w:r>
            <w:proofErr w:type="spellEnd"/>
            <w:r w:rsidRPr="00157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сільської ради</w:t>
            </w:r>
          </w:p>
        </w:tc>
      </w:tr>
      <w:tr w:rsidR="00AD30AA" w:rsidRPr="00157F9D" w:rsidTr="006A6A5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color w:val="000000"/>
                <w:sz w:val="28"/>
                <w:szCs w:val="28"/>
              </w:rPr>
              <w:t>Вербська сільська рада</w:t>
            </w:r>
          </w:p>
        </w:tc>
      </w:tr>
      <w:tr w:rsidR="00AD30AA" w:rsidRPr="00157F9D" w:rsidTr="006A6A5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color w:val="000000"/>
                <w:sz w:val="28"/>
                <w:szCs w:val="28"/>
              </w:rPr>
              <w:t>Вербська сільська рада</w:t>
            </w:r>
          </w:p>
        </w:tc>
      </w:tr>
      <w:tr w:rsidR="00AD30AA" w:rsidRPr="00157F9D" w:rsidTr="006A6A5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2021-2025 роки</w:t>
            </w:r>
          </w:p>
        </w:tc>
      </w:tr>
      <w:tr w:rsidR="00AD30AA" w:rsidRPr="00157F9D" w:rsidTr="006A6A5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Мета програми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Своєчасне та стовідсоткове забезпечення препаратами інсуліну хворих на цукровий діабет.</w:t>
            </w:r>
          </w:p>
        </w:tc>
      </w:tr>
      <w:tr w:rsidR="00AD30AA" w:rsidRPr="00157F9D" w:rsidTr="006A6A5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Очікувані результати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57F9D">
              <w:rPr>
                <w:rFonts w:ascii="Times New Roman" w:hAnsi="Times New Roman"/>
                <w:sz w:val="28"/>
                <w:szCs w:val="28"/>
              </w:rPr>
              <w:t>Змога своєчасно і в повному об’ємі інсулінозалежним хворим отримувати безкоштовно препарати інсуліну</w:t>
            </w:r>
          </w:p>
        </w:tc>
      </w:tr>
      <w:tr w:rsidR="00AD30AA" w:rsidRPr="00157F9D" w:rsidTr="006A6A5F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фінансових ресурсів, необхідних для реалізації Програми на 2021-2025  роки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0AA" w:rsidRPr="00157F9D" w:rsidRDefault="00AD30AA" w:rsidP="006A6A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930170 грн.</w:t>
            </w:r>
          </w:p>
        </w:tc>
      </w:tr>
    </w:tbl>
    <w:p w:rsidR="00AD30AA" w:rsidRDefault="00AD30AA" w:rsidP="00AD30AA">
      <w:pPr>
        <w:pStyle w:val="a8"/>
        <w:spacing w:after="0" w:line="240" w:lineRule="auto"/>
        <w:ind w:left="142" w:firstLine="142"/>
        <w:rPr>
          <w:sz w:val="21"/>
          <w:szCs w:val="21"/>
        </w:rPr>
      </w:pPr>
    </w:p>
    <w:p w:rsidR="00AD30AA" w:rsidRPr="000A0F7B" w:rsidRDefault="00AD30AA" w:rsidP="00AD30AA">
      <w:pPr>
        <w:pStyle w:val="a8"/>
        <w:spacing w:after="0" w:line="240" w:lineRule="auto"/>
        <w:rPr>
          <w:b/>
          <w:sz w:val="21"/>
          <w:szCs w:val="21"/>
        </w:rPr>
      </w:pPr>
    </w:p>
    <w:p w:rsidR="00AD30AA" w:rsidRPr="00E21FF1" w:rsidRDefault="00AD30AA" w:rsidP="00AD30AA">
      <w:pPr>
        <w:pStyle w:val="a8"/>
        <w:numPr>
          <w:ilvl w:val="0"/>
          <w:numId w:val="15"/>
        </w:numPr>
        <w:spacing w:after="0" w:line="240" w:lineRule="auto"/>
        <w:jc w:val="center"/>
        <w:rPr>
          <w:b/>
          <w:sz w:val="21"/>
          <w:szCs w:val="21"/>
        </w:rPr>
      </w:pPr>
      <w:r w:rsidRPr="00E21FF1">
        <w:rPr>
          <w:b/>
          <w:szCs w:val="28"/>
        </w:rPr>
        <w:t>Визначення проблем, на розв’язання яких спрямована Програма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57F9D">
        <w:rPr>
          <w:rFonts w:ascii="Times New Roman" w:hAnsi="Times New Roman"/>
          <w:sz w:val="28"/>
          <w:szCs w:val="28"/>
          <w:lang w:eastAsia="uk-UA"/>
        </w:rPr>
        <w:t>Цукровий діабет – глобальна медико-соціальна і гуманітарна проблема XXI століття, яка торкнулася сьогодні все світове співтовариство. Ще двадцять років тому кількість людей у всьому світі з діагнозом «цукровий діабет» не перевищувало 30 млн. Сьогодні діабет хворіє понад 285 млн. осіб, а до 2030 року, за прогнозом Міжнародної федерації діабету (IDF), їх число може збільшитися до 438 млн.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57F9D">
        <w:rPr>
          <w:rFonts w:ascii="Times New Roman" w:hAnsi="Times New Roman"/>
          <w:sz w:val="28"/>
          <w:szCs w:val="28"/>
          <w:lang w:eastAsia="uk-UA"/>
        </w:rPr>
        <w:lastRenderedPageBreak/>
        <w:t>Цукровий діабет – тяжке хронічне прогресуюче захворювання, яке потребує медичної допомоги протягом усього життя хворого. Діабет характеризується розвитком серйозних ускладнень, що потребують дорогого лікування, є однією з основних причин передчасної смертності. При цьому діабет невпинно молодшає, кожен рік вражаючи все більше людей працездатного віку.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57F9D">
        <w:rPr>
          <w:rFonts w:ascii="Times New Roman" w:hAnsi="Times New Roman"/>
          <w:sz w:val="28"/>
          <w:szCs w:val="28"/>
          <w:lang w:eastAsia="uk-UA"/>
        </w:rPr>
        <w:t xml:space="preserve">За даними Всесвітньої організації охорони здоров'я (ВООЗ), кожні 10 секунд у світі помирає 1 хворий на цукровий діабет, тобто щорічно помирає понад 3 млн. осіб – більше, ніж від </w:t>
      </w:r>
      <w:proofErr w:type="spellStart"/>
      <w:r w:rsidRPr="00157F9D">
        <w:rPr>
          <w:rFonts w:ascii="Times New Roman" w:hAnsi="Times New Roman"/>
          <w:sz w:val="28"/>
          <w:szCs w:val="28"/>
          <w:lang w:eastAsia="uk-UA"/>
        </w:rPr>
        <w:t>СНІДу</w:t>
      </w:r>
      <w:proofErr w:type="spellEnd"/>
      <w:r w:rsidRPr="00157F9D">
        <w:rPr>
          <w:rFonts w:ascii="Times New Roman" w:hAnsi="Times New Roman"/>
          <w:sz w:val="28"/>
          <w:szCs w:val="28"/>
          <w:lang w:eastAsia="uk-UA"/>
        </w:rPr>
        <w:t xml:space="preserve"> і гепатиту разом узятих. При цьому діабет часто не згадується як безпосередня причина смерті у тих випадках, коли до летального результату призводить одна з його пізніх ускладнень, як інфаркт міокарда, інсульт або ниркова недостатність. За цими сухими цифрами стоять долі конкретних людей і безліч особистих трагедій.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57F9D">
        <w:rPr>
          <w:rFonts w:ascii="Times New Roman" w:hAnsi="Times New Roman"/>
          <w:sz w:val="28"/>
          <w:szCs w:val="28"/>
          <w:lang w:eastAsia="uk-UA"/>
        </w:rPr>
        <w:t xml:space="preserve">Надзвичайна небезпека діабету визнана сьогодні всім міжнародним співтовариством. У грудні 2006 року Організація Об'єднаних Націй на своїй 61-ї сесії Генеральної асамблеї прийняла спеціальну резолюцію №61/225 по цукровому діабету, в якій визнала діабет важким хронічним захворюванням, що представляє серйозну загрозу не тільки для добробуту окремих людей, але і для економічного і соціального добробуту держав і всього світового співтовариства. 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57F9D">
        <w:rPr>
          <w:rFonts w:ascii="Times New Roman" w:hAnsi="Times New Roman"/>
          <w:sz w:val="28"/>
          <w:szCs w:val="28"/>
          <w:lang w:eastAsia="uk-UA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eastAsia="uk-UA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сільської ради</w:t>
      </w:r>
      <w:r w:rsidRPr="00157F9D">
        <w:rPr>
          <w:rFonts w:ascii="Times New Roman" w:hAnsi="Times New Roman"/>
          <w:sz w:val="28"/>
          <w:szCs w:val="28"/>
          <w:lang w:eastAsia="uk-UA"/>
        </w:rPr>
        <w:t xml:space="preserve"> прожива</w:t>
      </w:r>
      <w:r>
        <w:rPr>
          <w:rFonts w:ascii="Times New Roman" w:hAnsi="Times New Roman"/>
          <w:sz w:val="28"/>
          <w:szCs w:val="28"/>
          <w:lang w:eastAsia="uk-UA"/>
        </w:rPr>
        <w:t xml:space="preserve">ють хворі на цукровий діабет та люди, </w:t>
      </w:r>
      <w:r w:rsidRPr="00157F9D">
        <w:rPr>
          <w:rFonts w:ascii="Times New Roman" w:hAnsi="Times New Roman"/>
          <w:sz w:val="28"/>
          <w:szCs w:val="28"/>
          <w:lang w:eastAsia="uk-UA"/>
        </w:rPr>
        <w:t xml:space="preserve">які потребують </w:t>
      </w:r>
      <w:proofErr w:type="spellStart"/>
      <w:r w:rsidRPr="00157F9D">
        <w:rPr>
          <w:rFonts w:ascii="Times New Roman" w:hAnsi="Times New Roman"/>
          <w:sz w:val="28"/>
          <w:szCs w:val="28"/>
          <w:lang w:eastAsia="uk-UA"/>
        </w:rPr>
        <w:t>інсулінотерапії</w:t>
      </w:r>
      <w:proofErr w:type="spellEnd"/>
      <w:r w:rsidRPr="00157F9D">
        <w:rPr>
          <w:rFonts w:ascii="Times New Roman" w:hAnsi="Times New Roman"/>
          <w:sz w:val="28"/>
          <w:szCs w:val="28"/>
          <w:lang w:eastAsia="uk-UA"/>
        </w:rPr>
        <w:t>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Актуальність</w:t>
      </w:r>
      <w:r w:rsidRPr="00157F9D">
        <w:rPr>
          <w:rFonts w:ascii="Times New Roman" w:hAnsi="Times New Roman"/>
          <w:sz w:val="28"/>
          <w:szCs w:val="28"/>
          <w:lang w:eastAsia="uk-UA"/>
        </w:rPr>
        <w:t xml:space="preserve"> прийняття Програми зумовлена </w:t>
      </w:r>
      <w:r>
        <w:rPr>
          <w:rFonts w:ascii="Times New Roman" w:hAnsi="Times New Roman"/>
          <w:sz w:val="28"/>
          <w:szCs w:val="28"/>
          <w:lang w:eastAsia="uk-UA"/>
        </w:rPr>
        <w:t>потребою у невідкладному вжитті</w:t>
      </w:r>
      <w:r w:rsidRPr="00157F9D">
        <w:rPr>
          <w:rFonts w:ascii="Times New Roman" w:hAnsi="Times New Roman"/>
          <w:sz w:val="28"/>
          <w:szCs w:val="28"/>
          <w:lang w:eastAsia="uk-UA"/>
        </w:rPr>
        <w:t xml:space="preserve"> заходів для пільгового забезпечення препаратами інсуліну хворих на цукровий діабет.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57F9D">
        <w:rPr>
          <w:rFonts w:ascii="Times New Roman" w:hAnsi="Times New Roman"/>
          <w:sz w:val="28"/>
          <w:szCs w:val="28"/>
        </w:rPr>
        <w:t xml:space="preserve">Для забезпечення реалізації Програми передбачається виділення цільових коштів з Державного бюджету. 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7F9D">
        <w:rPr>
          <w:rFonts w:ascii="Times New Roman" w:hAnsi="Times New Roman"/>
          <w:sz w:val="28"/>
          <w:szCs w:val="28"/>
        </w:rPr>
        <w:t xml:space="preserve">Законодавчими  підставами  для виконання Програми є закони України: «Про місцеве самоврядування в Україні», «Основи законодавства України про охорону здоров’я»,  постанови Кабінету Міністрів України від 17 серпня 1998 року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05 березня 2014 року №73 «Питання реалізації пілотного проекту щодо запровадження державного регулювання цін на препарати інсуліну», від 23 березня 2016 року №239 «Деякі питання відшкодування вартості препаратів інсуліну»,  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30AA" w:rsidRPr="00157F9D" w:rsidRDefault="00AD30AA" w:rsidP="00AD30AA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57F9D">
        <w:rPr>
          <w:rFonts w:ascii="Times New Roman" w:hAnsi="Times New Roman"/>
          <w:b/>
          <w:sz w:val="28"/>
          <w:szCs w:val="28"/>
        </w:rPr>
        <w:t>Мета Програми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57F9D">
        <w:rPr>
          <w:rFonts w:ascii="Times New Roman" w:hAnsi="Times New Roman"/>
          <w:sz w:val="28"/>
          <w:szCs w:val="28"/>
        </w:rPr>
        <w:t>Метою програми є</w:t>
      </w:r>
      <w:r>
        <w:rPr>
          <w:rFonts w:ascii="Times New Roman" w:hAnsi="Times New Roman"/>
          <w:sz w:val="28"/>
          <w:szCs w:val="28"/>
        </w:rPr>
        <w:t xml:space="preserve"> своєчасне та</w:t>
      </w:r>
      <w:r w:rsidRPr="00157F9D">
        <w:rPr>
          <w:rFonts w:ascii="Times New Roman" w:hAnsi="Times New Roman"/>
          <w:sz w:val="28"/>
          <w:szCs w:val="28"/>
        </w:rPr>
        <w:t xml:space="preserve"> стовідсоткове </w:t>
      </w:r>
      <w:r>
        <w:rPr>
          <w:rFonts w:ascii="Times New Roman" w:hAnsi="Times New Roman"/>
          <w:sz w:val="28"/>
          <w:szCs w:val="28"/>
        </w:rPr>
        <w:t xml:space="preserve">забезпечення </w:t>
      </w:r>
      <w:r w:rsidRPr="00157F9D">
        <w:rPr>
          <w:rFonts w:ascii="Times New Roman" w:hAnsi="Times New Roman"/>
          <w:sz w:val="28"/>
          <w:szCs w:val="28"/>
        </w:rPr>
        <w:t xml:space="preserve">препаратами інсуліну хворих на цукровий діабет, зниження рівня захворюваності, зменшення ускладнень, збільшення тривалості та поліпшення якості життя хворих на цукровий діабет.   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0AA" w:rsidRPr="00157F9D" w:rsidRDefault="00AD30AA" w:rsidP="00AD30AA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57F9D">
        <w:rPr>
          <w:rFonts w:ascii="Times New Roman" w:hAnsi="Times New Roman"/>
          <w:b/>
          <w:sz w:val="28"/>
          <w:szCs w:val="28"/>
        </w:rPr>
        <w:lastRenderedPageBreak/>
        <w:t>Обґрунтування шляхів і засобів розв’язання проблеми, показники результативності.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Ухвалення Програми</w:t>
      </w:r>
      <w:r w:rsidRPr="00157F9D">
        <w:rPr>
          <w:rFonts w:ascii="Times New Roman" w:hAnsi="Times New Roman"/>
          <w:sz w:val="28"/>
          <w:szCs w:val="28"/>
          <w:shd w:val="clear" w:color="auto" w:fill="FFFFFF"/>
        </w:rPr>
        <w:t xml:space="preserve"> забезпечить підвищення ефекти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вності заходів, спрямованих на</w:t>
      </w:r>
      <w:r w:rsidRPr="00157F9D">
        <w:rPr>
          <w:rFonts w:ascii="Times New Roman" w:hAnsi="Times New Roman"/>
          <w:sz w:val="28"/>
          <w:szCs w:val="28"/>
          <w:shd w:val="clear" w:color="auto" w:fill="FFFFFF"/>
        </w:rPr>
        <w:t xml:space="preserve"> пільгове забезпечення препаратами інсуліну хворих на цукровий діабет, запобіганню та зниженню інвалідності, смертності, збільшення тривалості та поліпшення життя хворих на цукровий діабет шляхом своєчасного та стовідсоткового забезпечення препаратами інсуліну.  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завданнями Програми є</w:t>
      </w:r>
      <w:r w:rsidRPr="00157F9D">
        <w:rPr>
          <w:rFonts w:ascii="Times New Roman" w:hAnsi="Times New Roman"/>
          <w:sz w:val="28"/>
          <w:szCs w:val="28"/>
        </w:rPr>
        <w:t xml:space="preserve"> виділення необхідних коштів з </w:t>
      </w:r>
      <w:r>
        <w:rPr>
          <w:rFonts w:ascii="Times New Roman" w:hAnsi="Times New Roman"/>
          <w:sz w:val="28"/>
          <w:szCs w:val="28"/>
        </w:rPr>
        <w:t>Державного бюджету на  пільгове</w:t>
      </w:r>
      <w:r w:rsidRPr="00157F9D">
        <w:rPr>
          <w:rFonts w:ascii="Times New Roman" w:hAnsi="Times New Roman"/>
          <w:sz w:val="28"/>
          <w:szCs w:val="28"/>
        </w:rPr>
        <w:t xml:space="preserve"> забезпечення препаратами інсуліну хворих на цукровий діабет жителів громади.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57F9D">
        <w:rPr>
          <w:rFonts w:ascii="Times New Roman" w:hAnsi="Times New Roman"/>
          <w:sz w:val="28"/>
          <w:szCs w:val="28"/>
        </w:rPr>
        <w:t>Захід Програми, виконавці та терміни його</w:t>
      </w:r>
      <w:r>
        <w:rPr>
          <w:rFonts w:ascii="Times New Roman" w:hAnsi="Times New Roman"/>
          <w:sz w:val="28"/>
          <w:szCs w:val="28"/>
        </w:rPr>
        <w:t xml:space="preserve"> виконання визначені у додатку </w:t>
      </w:r>
      <w:r w:rsidRPr="00157F9D">
        <w:rPr>
          <w:rFonts w:ascii="Times New Roman" w:hAnsi="Times New Roman"/>
          <w:sz w:val="28"/>
          <w:szCs w:val="28"/>
        </w:rPr>
        <w:t>1 до Програми.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30AA" w:rsidRPr="00157F9D" w:rsidRDefault="00AD30AA" w:rsidP="00AD30AA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Обсяги та джерела ф</w:t>
      </w:r>
      <w:r w:rsidRPr="00157F9D">
        <w:rPr>
          <w:rFonts w:ascii="Times New Roman" w:hAnsi="Times New Roman"/>
          <w:b/>
          <w:sz w:val="28"/>
          <w:szCs w:val="28"/>
        </w:rPr>
        <w:t>інансування Програми</w:t>
      </w: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57F9D">
        <w:rPr>
          <w:rFonts w:ascii="Times New Roman" w:hAnsi="Times New Roman"/>
          <w:sz w:val="28"/>
          <w:szCs w:val="28"/>
        </w:rPr>
        <w:t xml:space="preserve">Фінансування заходів на виконання Програми здійснюватиметься відповідно до законодавства </w:t>
      </w:r>
      <w:r>
        <w:rPr>
          <w:rFonts w:ascii="Times New Roman" w:hAnsi="Times New Roman"/>
          <w:sz w:val="28"/>
          <w:szCs w:val="28"/>
        </w:rPr>
        <w:t xml:space="preserve">за рахунок коштів </w:t>
      </w:r>
      <w:r w:rsidRPr="00157F9D">
        <w:rPr>
          <w:rFonts w:ascii="Times New Roman" w:hAnsi="Times New Roman"/>
          <w:sz w:val="28"/>
          <w:szCs w:val="28"/>
        </w:rPr>
        <w:t>Державного бюджету</w:t>
      </w:r>
      <w:r>
        <w:rPr>
          <w:rFonts w:ascii="Times New Roman" w:hAnsi="Times New Roman"/>
          <w:sz w:val="28"/>
          <w:szCs w:val="28"/>
        </w:rPr>
        <w:t>,</w:t>
      </w:r>
      <w:r w:rsidRPr="00157F9D">
        <w:rPr>
          <w:rFonts w:ascii="Times New Roman" w:hAnsi="Times New Roman"/>
          <w:sz w:val="28"/>
          <w:szCs w:val="28"/>
        </w:rPr>
        <w:t xml:space="preserve"> надання іншої субвенції б</w:t>
      </w:r>
      <w:r>
        <w:rPr>
          <w:rFonts w:ascii="Times New Roman" w:hAnsi="Times New Roman"/>
          <w:sz w:val="28"/>
          <w:szCs w:val="28"/>
        </w:rPr>
        <w:t xml:space="preserve">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ради, коштів місцевого бюджету.</w:t>
      </w: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0AA" w:rsidRPr="004C4D12" w:rsidRDefault="00AD30AA" w:rsidP="00AD30AA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4D12">
        <w:rPr>
          <w:rFonts w:ascii="Times New Roman" w:hAnsi="Times New Roman"/>
          <w:b/>
          <w:sz w:val="28"/>
          <w:szCs w:val="28"/>
        </w:rPr>
        <w:t>Прогнозовані обсяги</w:t>
      </w:r>
    </w:p>
    <w:tbl>
      <w:tblPr>
        <w:tblStyle w:val="aa"/>
        <w:tblW w:w="0" w:type="auto"/>
        <w:tblLook w:val="04A0"/>
      </w:tblPr>
      <w:tblGrid>
        <w:gridCol w:w="2189"/>
        <w:gridCol w:w="1034"/>
        <w:gridCol w:w="1062"/>
        <w:gridCol w:w="1056"/>
        <w:gridCol w:w="1062"/>
        <w:gridCol w:w="1056"/>
        <w:gridCol w:w="1056"/>
        <w:gridCol w:w="1056"/>
      </w:tblGrid>
      <w:tr w:rsidR="00AD30AA" w:rsidTr="006A6A5F">
        <w:tc>
          <w:tcPr>
            <w:tcW w:w="2370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виміру </w:t>
            </w:r>
          </w:p>
        </w:tc>
        <w:tc>
          <w:tcPr>
            <w:tcW w:w="1073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73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</w:tr>
      <w:tr w:rsidR="00AD30AA" w:rsidTr="006A6A5F">
        <w:tc>
          <w:tcPr>
            <w:tcW w:w="2370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Відшкодування інсуліну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опіоїдних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анальгетиків згідно Постанови КМУ від 17.08.1998 року № 1303 «Про впорядкування безоплатного  та пільгового відпуску лікарських засобів за рецептами лікарів у разі амбулаторного лікування окремих груп населення та за певними категоріями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захворювань»</w:t>
            </w:r>
          </w:p>
        </w:tc>
        <w:tc>
          <w:tcPr>
            <w:tcW w:w="547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гривня</w:t>
            </w:r>
          </w:p>
        </w:tc>
        <w:tc>
          <w:tcPr>
            <w:tcW w:w="1073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130170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073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056" w:type="dxa"/>
          </w:tcPr>
          <w:p w:rsidR="00AD30AA" w:rsidRDefault="00AD30AA" w:rsidP="006A6A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930170</w:t>
            </w:r>
          </w:p>
        </w:tc>
      </w:tr>
    </w:tbl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57F9D">
        <w:rPr>
          <w:rFonts w:ascii="Times New Roman" w:hAnsi="Times New Roman"/>
          <w:sz w:val="28"/>
          <w:szCs w:val="28"/>
        </w:rPr>
        <w:t xml:space="preserve">     </w:t>
      </w:r>
    </w:p>
    <w:p w:rsidR="00AD30AA" w:rsidRPr="00157F9D" w:rsidRDefault="00AD30AA" w:rsidP="00AD30AA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57F9D">
        <w:rPr>
          <w:rFonts w:ascii="Times New Roman" w:hAnsi="Times New Roman"/>
          <w:b/>
          <w:sz w:val="28"/>
          <w:szCs w:val="28"/>
        </w:rPr>
        <w:t>Строки та етапи виконання Програми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7F9D">
        <w:rPr>
          <w:rFonts w:ascii="Times New Roman" w:hAnsi="Times New Roman"/>
          <w:sz w:val="28"/>
          <w:szCs w:val="28"/>
        </w:rPr>
        <w:t>Термін реалізації 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F9D">
        <w:rPr>
          <w:rFonts w:ascii="Times New Roman" w:hAnsi="Times New Roman"/>
          <w:sz w:val="28"/>
          <w:szCs w:val="28"/>
        </w:rPr>
        <w:t>- 2021-2025 роки. Програма розрахована на п</w:t>
      </w:r>
      <w:r w:rsidRPr="00157F9D">
        <w:rPr>
          <w:rFonts w:ascii="Times New Roman" w:hAnsi="Times New Roman"/>
          <w:sz w:val="28"/>
          <w:szCs w:val="28"/>
          <w:lang w:val="ru-RU"/>
        </w:rPr>
        <w:t>’</w:t>
      </w:r>
      <w:r w:rsidRPr="00157F9D">
        <w:rPr>
          <w:rFonts w:ascii="Times New Roman" w:hAnsi="Times New Roman"/>
          <w:sz w:val="28"/>
          <w:szCs w:val="28"/>
        </w:rPr>
        <w:t>ять років.</w:t>
      </w:r>
    </w:p>
    <w:p w:rsidR="00AD30AA" w:rsidRPr="00157F9D" w:rsidRDefault="00AD30AA" w:rsidP="00AD30A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D30AA" w:rsidRPr="00157F9D" w:rsidRDefault="00AD30AA" w:rsidP="00AD30AA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57F9D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7F9D">
        <w:rPr>
          <w:rFonts w:ascii="Times New Roman" w:hAnsi="Times New Roman"/>
          <w:sz w:val="28"/>
          <w:szCs w:val="28"/>
          <w:shd w:val="clear" w:color="auto" w:fill="FFFFFF"/>
        </w:rPr>
        <w:t xml:space="preserve">Реалізація заходів Програми дасть змогу повноцінно забезпечити препаратами інсуліну хворих на цукровий діабет, що проживають на території громади, що в свою чергу дасть можливість підвищити ефективність лікування та доступності медичної допомоги, знизити смертність від ускладнень хвороб, зменшити кількість первинних виходів на інвалідність внаслідок захворювання, а також створити умови для продовження  та поліпшення якості життя хворих на цукровий діабет.   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30AA" w:rsidRPr="00157F9D" w:rsidRDefault="00AD30AA" w:rsidP="00AD30AA">
      <w:pPr>
        <w:pStyle w:val="a6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57F9D">
        <w:rPr>
          <w:rFonts w:ascii="Times New Roman" w:hAnsi="Times New Roman"/>
          <w:b/>
          <w:sz w:val="28"/>
          <w:szCs w:val="28"/>
        </w:rPr>
        <w:t>Координація та контроль за виконанням Програми</w:t>
      </w:r>
    </w:p>
    <w:p w:rsidR="00AD30AA" w:rsidRPr="00157F9D" w:rsidRDefault="00AD30AA" w:rsidP="00AD30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57F9D">
        <w:rPr>
          <w:rFonts w:ascii="Times New Roman" w:hAnsi="Times New Roman"/>
          <w:sz w:val="28"/>
          <w:szCs w:val="28"/>
        </w:rPr>
        <w:t>Координація дій та контроль за виконанням Програми покладається на  постійну комісію з питань фінансів, бюджету, планування соціально-економічного розвитку, інвестицій та міжнародного співробітництва та на заступника сільського голови з питань діяльності виконавчих органів ради Андрія Грицака</w:t>
      </w:r>
      <w:r w:rsidRPr="00157F9D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57F9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D30AA" w:rsidRDefault="00AD30AA" w:rsidP="00AD30AA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63D0" w:rsidRPr="00C93654" w:rsidRDefault="00AD30AA" w:rsidP="00AD30AA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C9365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0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4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730D1"/>
    <w:rsid w:val="00197256"/>
    <w:rsid w:val="001F4E9A"/>
    <w:rsid w:val="00281A9B"/>
    <w:rsid w:val="002D5A88"/>
    <w:rsid w:val="00366E64"/>
    <w:rsid w:val="004247CB"/>
    <w:rsid w:val="004C5C01"/>
    <w:rsid w:val="006A5B7A"/>
    <w:rsid w:val="008357B9"/>
    <w:rsid w:val="009722A5"/>
    <w:rsid w:val="00A44781"/>
    <w:rsid w:val="00A6330E"/>
    <w:rsid w:val="00A7423A"/>
    <w:rsid w:val="00AD0A3B"/>
    <w:rsid w:val="00AD30AA"/>
    <w:rsid w:val="00C93654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2022-02-17T11:47:00Z</dcterms:created>
  <dcterms:modified xsi:type="dcterms:W3CDTF">2022-02-17T11:47:00Z</dcterms:modified>
</cp:coreProperties>
</file>